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北京注册会计师协会专业技术委员会</w:t>
      </w:r>
    </w:p>
    <w:p>
      <w:pPr>
        <w:jc w:val="center"/>
        <w:rPr>
          <w:rFonts w:asciiTheme="majorEastAsia" w:hAnsiTheme="majorEastAsia" w:eastAsiaTheme="majorEastAsia"/>
          <w:b/>
          <w:sz w:val="44"/>
          <w:szCs w:val="44"/>
        </w:rPr>
      </w:pPr>
      <w:bookmarkStart w:id="236" w:name="_GoBack"/>
      <w:r>
        <w:rPr>
          <w:rFonts w:hint="eastAsia" w:asciiTheme="majorEastAsia" w:hAnsiTheme="majorEastAsia" w:eastAsiaTheme="majorEastAsia"/>
          <w:b/>
          <w:sz w:val="44"/>
          <w:szCs w:val="44"/>
        </w:rPr>
        <w:t>防控新型冠状病毒肺炎疫情涉税政策汇编</w:t>
      </w:r>
    </w:p>
    <w:bookmarkEnd w:id="236"/>
    <w:p>
      <w:pPr>
        <w:jc w:val="center"/>
        <w:outlineLvl w:val="0"/>
        <w:rPr>
          <w:rFonts w:asciiTheme="majorEastAsia" w:hAnsiTheme="majorEastAsia" w:eastAsiaTheme="majorEastAsia"/>
          <w:b/>
          <w:sz w:val="44"/>
          <w:szCs w:val="44"/>
        </w:rPr>
      </w:pPr>
      <w:r>
        <w:rPr>
          <w:rFonts w:hint="eastAsia" w:asciiTheme="majorEastAsia" w:hAnsiTheme="majorEastAsia" w:eastAsiaTheme="majorEastAsia"/>
          <w:b/>
          <w:sz w:val="44"/>
          <w:szCs w:val="44"/>
        </w:rPr>
        <w:t>（第三期）</w:t>
      </w:r>
    </w:p>
    <w:p>
      <w:pPr>
        <w:ind w:firstLine="566" w:firstLineChars="177"/>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为坚决贯彻落实党中央、国务院决策部署，全力做好新型冠状病毒感染的肺炎疫情防控工作，国</w:t>
      </w:r>
      <w:r>
        <w:rPr>
          <w:rFonts w:ascii="仿宋" w:hAnsi="仿宋" w:eastAsia="仿宋"/>
          <w:sz w:val="32"/>
          <w:szCs w:val="32"/>
        </w:rPr>
        <w:t>家和地方政府近期发布了</w:t>
      </w:r>
      <w:r>
        <w:rPr>
          <w:rFonts w:hint="eastAsia" w:ascii="仿宋" w:hAnsi="仿宋" w:eastAsia="仿宋"/>
          <w:sz w:val="32"/>
          <w:szCs w:val="32"/>
        </w:rPr>
        <w:t>多</w:t>
      </w:r>
      <w:r>
        <w:rPr>
          <w:rFonts w:ascii="仿宋" w:hAnsi="仿宋" w:eastAsia="仿宋"/>
          <w:sz w:val="32"/>
          <w:szCs w:val="32"/>
        </w:rPr>
        <w:t>项税务支持政策，为</w:t>
      </w:r>
      <w:r>
        <w:rPr>
          <w:rFonts w:hint="eastAsia" w:ascii="仿宋" w:hAnsi="仿宋" w:eastAsia="仿宋"/>
          <w:sz w:val="32"/>
          <w:szCs w:val="32"/>
        </w:rPr>
        <w:t>切实加强纳税人和缴费人办税缴费的安全防护、确保经济平稳有序运行发</w:t>
      </w:r>
      <w:r>
        <w:rPr>
          <w:rFonts w:ascii="仿宋" w:hAnsi="仿宋" w:eastAsia="仿宋"/>
          <w:sz w:val="32"/>
          <w:szCs w:val="32"/>
        </w:rPr>
        <w:t>挥了重要保障作用。</w:t>
      </w:r>
    </w:p>
    <w:p>
      <w:pPr>
        <w:ind w:firstLine="566" w:firstLineChars="177"/>
        <w:rPr>
          <w:rFonts w:ascii="仿宋" w:hAnsi="仿宋" w:eastAsia="仿宋"/>
          <w:sz w:val="32"/>
          <w:szCs w:val="32"/>
        </w:rPr>
      </w:pPr>
      <w:r>
        <w:rPr>
          <w:rFonts w:ascii="仿宋" w:hAnsi="仿宋" w:eastAsia="仿宋"/>
          <w:sz w:val="32"/>
          <w:szCs w:val="32"/>
        </w:rPr>
        <w:t>为协助各会计师事务所顺利开展</w:t>
      </w:r>
      <w:r>
        <w:rPr>
          <w:rFonts w:hint="eastAsia" w:ascii="仿宋" w:hAnsi="仿宋" w:eastAsia="仿宋"/>
          <w:sz w:val="32"/>
          <w:szCs w:val="32"/>
        </w:rPr>
        <w:t>2</w:t>
      </w:r>
      <w:r>
        <w:rPr>
          <w:rFonts w:ascii="仿宋" w:hAnsi="仿宋" w:eastAsia="仿宋"/>
          <w:sz w:val="32"/>
          <w:szCs w:val="32"/>
        </w:rPr>
        <w:t>019年度审计工作，北京注协非鉴证委员会</w:t>
      </w:r>
      <w:r>
        <w:rPr>
          <w:rFonts w:hint="eastAsia" w:ascii="仿宋" w:hAnsi="仿宋" w:eastAsia="仿宋"/>
          <w:sz w:val="32"/>
          <w:szCs w:val="32"/>
        </w:rPr>
        <w:t>整理了疫情</w:t>
      </w:r>
      <w:r>
        <w:rPr>
          <w:rFonts w:ascii="仿宋" w:hAnsi="仿宋" w:eastAsia="仿宋"/>
          <w:sz w:val="32"/>
          <w:szCs w:val="32"/>
        </w:rPr>
        <w:t>期间</w:t>
      </w:r>
      <w:r>
        <w:rPr>
          <w:rFonts w:hint="eastAsia" w:ascii="仿宋" w:hAnsi="仿宋" w:eastAsia="仿宋"/>
          <w:sz w:val="32"/>
          <w:szCs w:val="32"/>
        </w:rPr>
        <w:t>发</w:t>
      </w:r>
      <w:r>
        <w:rPr>
          <w:rFonts w:ascii="仿宋" w:hAnsi="仿宋" w:eastAsia="仿宋"/>
          <w:sz w:val="32"/>
          <w:szCs w:val="32"/>
        </w:rPr>
        <w:t>布</w:t>
      </w:r>
      <w:r>
        <w:rPr>
          <w:rFonts w:hint="eastAsia" w:ascii="仿宋" w:hAnsi="仿宋" w:eastAsia="仿宋"/>
          <w:sz w:val="32"/>
          <w:szCs w:val="32"/>
        </w:rPr>
        <w:t>的各项最新涉税政策（第三</w:t>
      </w:r>
      <w:r>
        <w:rPr>
          <w:rFonts w:ascii="仿宋" w:hAnsi="仿宋" w:eastAsia="仿宋"/>
          <w:sz w:val="32"/>
          <w:szCs w:val="32"/>
        </w:rPr>
        <w:t>期，</w:t>
      </w:r>
      <w:r>
        <w:rPr>
          <w:rFonts w:hint="eastAsia" w:ascii="仿宋" w:hAnsi="仿宋" w:eastAsia="仿宋"/>
          <w:sz w:val="32"/>
          <w:szCs w:val="32"/>
        </w:rPr>
        <w:t>截至2</w:t>
      </w:r>
      <w:r>
        <w:rPr>
          <w:rFonts w:ascii="仿宋" w:hAnsi="仿宋" w:eastAsia="仿宋"/>
          <w:sz w:val="32"/>
          <w:szCs w:val="32"/>
        </w:rPr>
        <w:t>020</w:t>
      </w:r>
      <w:r>
        <w:rPr>
          <w:rFonts w:hint="eastAsia" w:ascii="仿宋" w:hAnsi="仿宋" w:eastAsia="仿宋"/>
          <w:sz w:val="32"/>
          <w:szCs w:val="32"/>
        </w:rPr>
        <w:t>年2月28日）</w:t>
      </w:r>
      <w:r>
        <w:rPr>
          <w:rFonts w:ascii="仿宋" w:hAnsi="仿宋" w:eastAsia="仿宋"/>
          <w:sz w:val="32"/>
          <w:szCs w:val="32"/>
        </w:rPr>
        <w:t>，供执业人员参考。</w:t>
      </w:r>
    </w:p>
    <w:p>
      <w:pPr>
        <w:ind w:firstLine="566" w:firstLineChars="177"/>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sectPr>
          <w:headerReference r:id="rId3" w:type="default"/>
          <w:footerReference r:id="rId4" w:type="default"/>
          <w:pgSz w:w="11906" w:h="16838"/>
          <w:pgMar w:top="1440" w:right="1474" w:bottom="1440" w:left="1531" w:header="851" w:footer="374" w:gutter="0"/>
          <w:pgNumType w:start="1"/>
          <w:cols w:space="425" w:num="1"/>
          <w:docGrid w:type="lines" w:linePitch="312" w:charSpace="0"/>
        </w:sectPr>
      </w:pPr>
    </w:p>
    <w:sdt>
      <w:sdtPr>
        <w:rPr>
          <w:rFonts w:ascii="仿宋" w:hAnsi="仿宋" w:eastAsia="仿宋" w:cstheme="minorBidi"/>
          <w:b/>
          <w:bCs/>
          <w:kern w:val="2"/>
          <w:sz w:val="32"/>
          <w:szCs w:val="32"/>
          <w:lang w:val="en-US" w:eastAsia="zh-CN"/>
        </w:rPr>
        <w:id w:val="33678120"/>
        <w:docPartObj>
          <w:docPartGallery w:val="Table of Contents"/>
          <w:docPartUnique/>
        </w:docPartObj>
      </w:sdtPr>
      <w:sdtEndPr>
        <w:rPr>
          <w:rFonts w:ascii="仿宋" w:hAnsi="仿宋" w:eastAsia="仿宋" w:cstheme="minorBidi"/>
          <w:b w:val="0"/>
          <w:bCs w:val="0"/>
          <w:kern w:val="2"/>
          <w:sz w:val="32"/>
          <w:szCs w:val="32"/>
          <w:lang w:val="en-US" w:eastAsia="zh-CN"/>
        </w:rPr>
      </w:sdtEndPr>
      <w:sdtContent>
        <w:p>
          <w:pPr>
            <w:pStyle w:val="34"/>
            <w:widowControl w:val="0"/>
            <w:snapToGrid w:val="0"/>
            <w:jc w:val="center"/>
            <w:rPr>
              <w:rFonts w:ascii="仿宋" w:hAnsi="仿宋" w:eastAsia="仿宋"/>
              <w:sz w:val="32"/>
              <w:szCs w:val="32"/>
            </w:rPr>
          </w:pPr>
          <w:bookmarkStart w:id="0" w:name="_Toc493066628"/>
          <w:bookmarkStart w:id="1" w:name="_Toc492902611"/>
          <w:bookmarkStart w:id="2" w:name="_Toc491179857"/>
          <w:bookmarkStart w:id="3" w:name="_Toc485906700"/>
          <w:bookmarkStart w:id="4" w:name="_Toc486235995"/>
          <w:bookmarkStart w:id="5" w:name="_Toc485049563"/>
          <w:bookmarkStart w:id="6" w:name="_Toc490552886"/>
          <w:bookmarkStart w:id="7" w:name="_Toc490560482"/>
          <w:bookmarkStart w:id="8" w:name="_Toc485717215"/>
          <w:bookmarkStart w:id="9" w:name="_Toc485716683"/>
          <w:bookmarkStart w:id="10" w:name="_Toc485297898"/>
          <w:bookmarkEnd w:id="0"/>
          <w:bookmarkEnd w:id="1"/>
          <w:bookmarkEnd w:id="2"/>
          <w:bookmarkEnd w:id="3"/>
          <w:bookmarkEnd w:id="4"/>
          <w:bookmarkEnd w:id="5"/>
          <w:bookmarkEnd w:id="6"/>
          <w:bookmarkEnd w:id="7"/>
          <w:bookmarkEnd w:id="8"/>
          <w:bookmarkEnd w:id="9"/>
          <w:bookmarkEnd w:id="10"/>
          <w:r>
            <w:rPr>
              <w:rFonts w:ascii="方正悠黑_512B" w:hAnsi="方正悠黑_512B" w:eastAsia="方正悠黑_512B"/>
              <w:color w:val="000000" w:themeColor="text1"/>
              <w:sz w:val="44"/>
              <w:szCs w:val="44"/>
            </w:rPr>
            <w:t>目</w:t>
          </w:r>
          <w:r>
            <w:rPr>
              <w:rFonts w:hint="eastAsia" w:ascii="方正悠黑_512B" w:hAnsi="方正悠黑_512B" w:eastAsia="方正悠黑_512B"/>
              <w:color w:val="000000" w:themeColor="text1"/>
              <w:sz w:val="44"/>
              <w:szCs w:val="44"/>
              <w:lang w:eastAsia="zh-CN"/>
            </w:rPr>
            <w:t xml:space="preserve">  </w:t>
          </w:r>
          <w:r>
            <w:rPr>
              <w:rFonts w:ascii="方正悠黑_512B" w:hAnsi="方正悠黑_512B" w:eastAsia="方正悠黑_512B"/>
              <w:color w:val="000000" w:themeColor="text1"/>
              <w:sz w:val="44"/>
              <w:szCs w:val="44"/>
            </w:rPr>
            <w:t>录</w:t>
          </w:r>
          <w:r>
            <w:rPr>
              <w:rFonts w:ascii="仿宋" w:hAnsi="仿宋" w:eastAsia="仿宋"/>
              <w:bCs/>
              <w:kern w:val="44"/>
              <w:sz w:val="32"/>
              <w:szCs w:val="32"/>
            </w:rPr>
            <w:fldChar w:fldCharType="begin"/>
          </w:r>
          <w:r>
            <w:rPr>
              <w:rFonts w:ascii="仿宋" w:hAnsi="仿宋" w:eastAsia="仿宋"/>
              <w:sz w:val="32"/>
              <w:szCs w:val="32"/>
            </w:rPr>
            <w:instrText xml:space="preserve"> TOC \o "1-3" \h \z \u </w:instrText>
          </w:r>
          <w:r>
            <w:rPr>
              <w:rFonts w:ascii="仿宋" w:hAnsi="仿宋" w:eastAsia="仿宋"/>
              <w:bCs/>
              <w:kern w:val="44"/>
              <w:sz w:val="32"/>
              <w:szCs w:val="32"/>
            </w:rPr>
            <w:fldChar w:fldCharType="separate"/>
          </w:r>
        </w:p>
        <w:p>
          <w:pPr>
            <w:pStyle w:val="59"/>
            <w:tabs>
              <w:tab w:val="right" w:leader="dot" w:pos="8891"/>
            </w:tabs>
            <w:rPr>
              <w:rFonts w:ascii="仿宋" w:hAnsi="仿宋" w:eastAsia="仿宋"/>
              <w:sz w:val="32"/>
              <w:szCs w:val="32"/>
            </w:rPr>
          </w:pPr>
          <w:r>
            <w:fldChar w:fldCharType="begin"/>
          </w:r>
          <w:r>
            <w:instrText xml:space="preserve"> HYPERLINK \l "_Toc34141397" </w:instrText>
          </w:r>
          <w:r>
            <w:fldChar w:fldCharType="separate"/>
          </w:r>
          <w:r>
            <w:rPr>
              <w:rStyle w:val="222"/>
              <w:rFonts w:hint="eastAsia" w:asciiTheme="minorEastAsia" w:hAnsiTheme="minorEastAsia"/>
              <w:b/>
              <w:sz w:val="32"/>
              <w:szCs w:val="32"/>
              <w:u w:val="none"/>
            </w:rPr>
            <w:t>一、国家涉税政策</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_Toc34141397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"_Toc34141398" </w:instrText>
          </w:r>
          <w:r>
            <w:fldChar w:fldCharType="separate"/>
          </w:r>
          <w:r>
            <w:rPr>
              <w:rStyle w:val="222"/>
              <w:rFonts w:hint="eastAsia" w:ascii="仿宋" w:hAnsi="仿宋" w:eastAsia="仿宋"/>
              <w:sz w:val="32"/>
              <w:szCs w:val="32"/>
            </w:rPr>
            <w:t>海关总署</w:t>
          </w:r>
          <w:r>
            <w:rPr>
              <w:rStyle w:val="222"/>
              <w:rFonts w:ascii="仿宋" w:hAnsi="仿宋" w:eastAsia="仿宋"/>
              <w:sz w:val="32"/>
              <w:szCs w:val="32"/>
            </w:rPr>
            <w:t>10</w:t>
          </w:r>
          <w:r>
            <w:rPr>
              <w:rStyle w:val="222"/>
              <w:rFonts w:hint="eastAsia" w:ascii="仿宋" w:hAnsi="仿宋" w:eastAsia="仿宋"/>
              <w:sz w:val="32"/>
              <w:szCs w:val="32"/>
            </w:rPr>
            <w:t>条“硬核”措施</w:t>
          </w:r>
          <w:r>
            <w:rPr>
              <w:rStyle w:val="222"/>
              <w:rFonts w:ascii="仿宋" w:hAnsi="仿宋" w:eastAsia="仿宋"/>
              <w:sz w:val="32"/>
              <w:szCs w:val="32"/>
            </w:rPr>
            <w:t xml:space="preserve"> </w:t>
          </w:r>
          <w:r>
            <w:rPr>
              <w:rStyle w:val="222"/>
              <w:rFonts w:hint="eastAsia" w:ascii="仿宋" w:hAnsi="仿宋" w:eastAsia="仿宋"/>
              <w:sz w:val="32"/>
              <w:szCs w:val="32"/>
            </w:rPr>
            <w:t>全力支持外贸企业复工复产</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_Toc34141398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"_Toc34141399" </w:instrText>
          </w:r>
          <w:r>
            <w:fldChar w:fldCharType="separate"/>
          </w:r>
          <w:r>
            <w:rPr>
              <w:rStyle w:val="222"/>
              <w:rFonts w:hint="eastAsia" w:ascii="仿宋" w:hAnsi="仿宋" w:eastAsia="仿宋"/>
              <w:sz w:val="32"/>
              <w:szCs w:val="32"/>
            </w:rPr>
            <w:t>国家税务总局关于进一步延长</w:t>
          </w:r>
          <w:r>
            <w:rPr>
              <w:rStyle w:val="222"/>
              <w:rFonts w:ascii="仿宋" w:hAnsi="仿宋" w:eastAsia="仿宋"/>
              <w:sz w:val="32"/>
              <w:szCs w:val="32"/>
            </w:rPr>
            <w:t>2020</w:t>
          </w:r>
          <w:r>
            <w:rPr>
              <w:rStyle w:val="222"/>
              <w:rFonts w:hint="eastAsia" w:ascii="仿宋" w:hAnsi="仿宋" w:eastAsia="仿宋"/>
              <w:sz w:val="32"/>
              <w:szCs w:val="32"/>
            </w:rPr>
            <w:t>年</w:t>
          </w:r>
          <w:r>
            <w:rPr>
              <w:rStyle w:val="222"/>
              <w:rFonts w:ascii="仿宋" w:hAnsi="仿宋" w:eastAsia="仿宋"/>
              <w:sz w:val="32"/>
              <w:szCs w:val="32"/>
            </w:rPr>
            <w:t>2</w:t>
          </w:r>
          <w:r>
            <w:rPr>
              <w:rStyle w:val="222"/>
              <w:rFonts w:hint="eastAsia" w:ascii="仿宋" w:hAnsi="仿宋" w:eastAsia="仿宋"/>
              <w:sz w:val="32"/>
              <w:szCs w:val="32"/>
            </w:rPr>
            <w:t>月份纳税申报期限有关事项的通知</w:t>
          </w:r>
          <w:r>
            <w:rPr>
              <w:rStyle w:val="222"/>
              <w:rFonts w:ascii="仿宋" w:hAnsi="仿宋" w:eastAsia="仿宋"/>
              <w:sz w:val="32"/>
              <w:szCs w:val="32"/>
            </w:rPr>
            <w:t xml:space="preserve"> </w:t>
          </w:r>
          <w:r>
            <w:rPr>
              <w:rStyle w:val="222"/>
              <w:rFonts w:hint="eastAsia" w:ascii="仿宋" w:hAnsi="仿宋" w:eastAsia="仿宋" w:cs="Times New Roman"/>
              <w:sz w:val="32"/>
              <w:szCs w:val="32"/>
            </w:rPr>
            <w:t>（</w:t>
          </w:r>
          <w:r>
            <w:rPr>
              <w:rStyle w:val="222"/>
              <w:rFonts w:hint="eastAsia" w:ascii="仿宋" w:hAnsi="仿宋" w:eastAsia="仿宋"/>
              <w:sz w:val="32"/>
              <w:szCs w:val="32"/>
            </w:rPr>
            <w:t>税总函〔</w:t>
          </w:r>
          <w:r>
            <w:rPr>
              <w:rStyle w:val="222"/>
              <w:rFonts w:ascii="仿宋" w:hAnsi="仿宋" w:eastAsia="仿宋"/>
              <w:sz w:val="32"/>
              <w:szCs w:val="32"/>
            </w:rPr>
            <w:t>2020</w:t>
          </w:r>
          <w:r>
            <w:rPr>
              <w:rStyle w:val="222"/>
              <w:rFonts w:hint="eastAsia" w:ascii="仿宋" w:hAnsi="仿宋" w:eastAsia="仿宋"/>
              <w:sz w:val="32"/>
              <w:szCs w:val="32"/>
            </w:rPr>
            <w:t>〕</w:t>
          </w:r>
          <w:r>
            <w:rPr>
              <w:rStyle w:val="222"/>
              <w:rFonts w:ascii="仿宋" w:hAnsi="仿宋" w:eastAsia="仿宋"/>
              <w:sz w:val="32"/>
              <w:szCs w:val="32"/>
            </w:rPr>
            <w:t>27</w:t>
          </w:r>
          <w:r>
            <w:rPr>
              <w:rStyle w:val="222"/>
              <w:rFonts w:hint="eastAsia" w:ascii="仿宋" w:hAnsi="仿宋" w:eastAsia="仿宋"/>
              <w:sz w:val="32"/>
              <w:szCs w:val="32"/>
            </w:rPr>
            <w:t>号</w:t>
          </w:r>
          <w:r>
            <w:rPr>
              <w:rStyle w:val="222"/>
              <w:rFonts w:ascii="仿宋" w:hAnsi="仿宋" w:eastAsia="仿宋"/>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_Toc34141399 \h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"_Toc34141400" </w:instrText>
          </w:r>
          <w:r>
            <w:fldChar w:fldCharType="separate"/>
          </w:r>
          <w:r>
            <w:rPr>
              <w:rStyle w:val="222"/>
              <w:rFonts w:hint="eastAsia" w:ascii="仿宋" w:hAnsi="仿宋" w:eastAsia="仿宋"/>
              <w:sz w:val="32"/>
              <w:szCs w:val="32"/>
            </w:rPr>
            <w:t>人力资源社会保障部办公厅关于切实做好新型冠状病毒感染的肺炎疫情防控期间社会保险经办工作的通知</w:t>
          </w:r>
          <w:r>
            <w:rPr>
              <w:rStyle w:val="222"/>
              <w:rFonts w:ascii="仿宋" w:hAnsi="仿宋" w:eastAsia="仿宋"/>
              <w:sz w:val="32"/>
              <w:szCs w:val="32"/>
            </w:rPr>
            <w:t xml:space="preserve"> </w:t>
          </w:r>
          <w:r>
            <w:rPr>
              <w:rStyle w:val="222"/>
              <w:rFonts w:hint="eastAsia" w:ascii="仿宋" w:hAnsi="仿宋" w:eastAsia="仿宋" w:cs="Times New Roman"/>
              <w:sz w:val="32"/>
              <w:szCs w:val="32"/>
            </w:rPr>
            <w:t>（人社厅明电〔</w:t>
          </w:r>
          <w:r>
            <w:rPr>
              <w:rStyle w:val="222"/>
              <w:rFonts w:ascii="仿宋" w:hAnsi="仿宋" w:eastAsia="仿宋" w:cs="Times New Roman"/>
              <w:sz w:val="32"/>
              <w:szCs w:val="32"/>
            </w:rPr>
            <w:t>2020</w:t>
          </w:r>
          <w:r>
            <w:rPr>
              <w:rStyle w:val="222"/>
              <w:rFonts w:hint="eastAsia" w:ascii="仿宋" w:hAnsi="仿宋" w:eastAsia="仿宋" w:cs="Times New Roman"/>
              <w:sz w:val="32"/>
              <w:szCs w:val="32"/>
            </w:rPr>
            <w:t>〕</w:t>
          </w:r>
          <w:r>
            <w:rPr>
              <w:rStyle w:val="222"/>
              <w:rFonts w:ascii="仿宋" w:hAnsi="仿宋" w:eastAsia="仿宋" w:cs="Times New Roman"/>
              <w:sz w:val="32"/>
              <w:szCs w:val="32"/>
            </w:rPr>
            <w:t>7</w:t>
          </w:r>
          <w:r>
            <w:rPr>
              <w:rStyle w:val="222"/>
              <w:rFonts w:hint="eastAsia" w:ascii="仿宋" w:hAnsi="仿宋" w:eastAsia="仿宋" w:cs="Times New Roman"/>
              <w:sz w:val="32"/>
              <w:szCs w:val="32"/>
            </w:rPr>
            <w:t>号</w:t>
          </w:r>
          <w:r>
            <w:rPr>
              <w:rStyle w:val="222"/>
              <w:rFonts w:ascii="仿宋" w:hAnsi="仿宋" w:eastAsia="仿宋" w:cs="Times New Roman"/>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_Toc34141400 \h </w:instrText>
          </w:r>
          <w:r>
            <w:rPr>
              <w:rFonts w:ascii="仿宋" w:hAnsi="仿宋" w:eastAsia="仿宋"/>
              <w:sz w:val="32"/>
              <w:szCs w:val="32"/>
            </w:rPr>
            <w:fldChar w:fldCharType="separate"/>
          </w:r>
          <w:r>
            <w:rPr>
              <w:rFonts w:ascii="仿宋" w:hAnsi="仿宋" w:eastAsia="仿宋"/>
              <w:sz w:val="32"/>
              <w:szCs w:val="32"/>
            </w:rPr>
            <w:t>4</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"_Toc34141401" </w:instrText>
          </w:r>
          <w:r>
            <w:fldChar w:fldCharType="separate"/>
          </w:r>
          <w:r>
            <w:rPr>
              <w:rStyle w:val="222"/>
              <w:rFonts w:hint="eastAsia" w:ascii="仿宋" w:hAnsi="仿宋" w:eastAsia="仿宋"/>
              <w:sz w:val="32"/>
              <w:szCs w:val="32"/>
            </w:rPr>
            <w:t>人力资源社会保障部</w:t>
          </w:r>
          <w:r>
            <w:rPr>
              <w:rStyle w:val="222"/>
              <w:rFonts w:ascii="仿宋" w:hAnsi="仿宋" w:eastAsia="仿宋"/>
              <w:sz w:val="32"/>
              <w:szCs w:val="32"/>
            </w:rPr>
            <w:t xml:space="preserve"> </w:t>
          </w:r>
          <w:r>
            <w:rPr>
              <w:rStyle w:val="222"/>
              <w:rFonts w:hint="eastAsia" w:ascii="仿宋" w:hAnsi="仿宋" w:eastAsia="仿宋"/>
              <w:sz w:val="32"/>
              <w:szCs w:val="32"/>
            </w:rPr>
            <w:t>财政部</w:t>
          </w:r>
          <w:r>
            <w:rPr>
              <w:rStyle w:val="222"/>
              <w:rFonts w:ascii="仿宋" w:hAnsi="仿宋" w:eastAsia="仿宋"/>
              <w:sz w:val="32"/>
              <w:szCs w:val="32"/>
            </w:rPr>
            <w:t xml:space="preserve"> </w:t>
          </w:r>
          <w:r>
            <w:rPr>
              <w:rStyle w:val="222"/>
              <w:rFonts w:hint="eastAsia" w:ascii="仿宋" w:hAnsi="仿宋" w:eastAsia="仿宋"/>
              <w:sz w:val="32"/>
              <w:szCs w:val="32"/>
            </w:rPr>
            <w:t>税务总局关于阶段性减免企业社会保险费的通知</w:t>
          </w:r>
          <w:r>
            <w:rPr>
              <w:rStyle w:val="222"/>
              <w:rFonts w:ascii="仿宋" w:hAnsi="仿宋" w:eastAsia="仿宋"/>
              <w:sz w:val="32"/>
              <w:szCs w:val="32"/>
            </w:rPr>
            <w:t xml:space="preserve"> </w:t>
          </w:r>
          <w:r>
            <w:rPr>
              <w:rStyle w:val="222"/>
              <w:rFonts w:hint="eastAsia" w:ascii="仿宋" w:hAnsi="仿宋" w:eastAsia="仿宋"/>
              <w:sz w:val="32"/>
              <w:szCs w:val="32"/>
            </w:rPr>
            <w:t>（人社部发﹝</w:t>
          </w:r>
          <w:r>
            <w:rPr>
              <w:rStyle w:val="222"/>
              <w:rFonts w:ascii="仿宋" w:hAnsi="仿宋" w:eastAsia="仿宋"/>
              <w:sz w:val="32"/>
              <w:szCs w:val="32"/>
            </w:rPr>
            <w:t>2020</w:t>
          </w:r>
          <w:r>
            <w:rPr>
              <w:rStyle w:val="222"/>
              <w:rFonts w:hint="eastAsia" w:ascii="仿宋" w:hAnsi="仿宋" w:eastAsia="仿宋"/>
              <w:sz w:val="32"/>
              <w:szCs w:val="32"/>
            </w:rPr>
            <w:t>﹞</w:t>
          </w:r>
          <w:r>
            <w:rPr>
              <w:rStyle w:val="222"/>
              <w:rFonts w:ascii="仿宋" w:hAnsi="仿宋" w:eastAsia="仿宋"/>
              <w:sz w:val="32"/>
              <w:szCs w:val="32"/>
            </w:rPr>
            <w:t>11</w:t>
          </w:r>
          <w:r>
            <w:rPr>
              <w:rStyle w:val="222"/>
              <w:rFonts w:hint="eastAsia" w:ascii="仿宋" w:hAnsi="仿宋" w:eastAsia="仿宋"/>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_Toc34141401 \h </w:instrText>
          </w:r>
          <w:r>
            <w:rPr>
              <w:rFonts w:ascii="仿宋" w:hAnsi="仿宋" w:eastAsia="仿宋"/>
              <w:sz w:val="32"/>
              <w:szCs w:val="32"/>
            </w:rPr>
            <w:fldChar w:fldCharType="separate"/>
          </w:r>
          <w:r>
            <w:rPr>
              <w:rFonts w:ascii="仿宋" w:hAnsi="仿宋" w:eastAsia="仿宋"/>
              <w:sz w:val="32"/>
              <w:szCs w:val="32"/>
            </w:rPr>
            <w:t>8</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"_Toc34141402" </w:instrText>
          </w:r>
          <w:r>
            <w:fldChar w:fldCharType="separate"/>
          </w:r>
          <w:r>
            <w:rPr>
              <w:rStyle w:val="222"/>
              <w:rFonts w:hint="eastAsia" w:ascii="仿宋" w:hAnsi="仿宋" w:eastAsia="仿宋"/>
              <w:sz w:val="32"/>
              <w:szCs w:val="32"/>
            </w:rPr>
            <w:t>国家税务总局关于做好新型冠状病毒感染的肺炎疫情防控期间出口退（免）税有关工作的通知</w:t>
          </w:r>
          <w:r>
            <w:rPr>
              <w:rStyle w:val="222"/>
              <w:rFonts w:ascii="仿宋" w:hAnsi="仿宋" w:eastAsia="仿宋"/>
              <w:sz w:val="32"/>
              <w:szCs w:val="32"/>
            </w:rPr>
            <w:t xml:space="preserve"> </w:t>
          </w:r>
          <w:r>
            <w:rPr>
              <w:rStyle w:val="222"/>
              <w:rFonts w:hint="eastAsia" w:ascii="仿宋" w:hAnsi="仿宋" w:eastAsia="仿宋" w:cs="Times New Roman"/>
              <w:sz w:val="32"/>
              <w:szCs w:val="32"/>
            </w:rPr>
            <w:t>（税总函〔</w:t>
          </w:r>
          <w:r>
            <w:rPr>
              <w:rStyle w:val="222"/>
              <w:rFonts w:ascii="仿宋" w:hAnsi="仿宋" w:eastAsia="仿宋" w:cs="Times New Roman"/>
              <w:sz w:val="32"/>
              <w:szCs w:val="32"/>
            </w:rPr>
            <w:t>2020</w:t>
          </w:r>
          <w:r>
            <w:rPr>
              <w:rStyle w:val="222"/>
              <w:rFonts w:hint="eastAsia" w:ascii="仿宋" w:hAnsi="仿宋" w:eastAsia="仿宋" w:cs="Times New Roman"/>
              <w:sz w:val="32"/>
              <w:szCs w:val="32"/>
            </w:rPr>
            <w:t>〕</w:t>
          </w:r>
          <w:r>
            <w:rPr>
              <w:rStyle w:val="222"/>
              <w:rFonts w:ascii="仿宋" w:hAnsi="仿宋" w:eastAsia="仿宋" w:cs="Times New Roman"/>
              <w:sz w:val="32"/>
              <w:szCs w:val="32"/>
            </w:rPr>
            <w:t>28</w:t>
          </w:r>
          <w:r>
            <w:rPr>
              <w:rStyle w:val="222"/>
              <w:rFonts w:hint="eastAsia" w:ascii="仿宋" w:hAnsi="仿宋" w:eastAsia="仿宋" w:cs="Times New Roman"/>
              <w:sz w:val="32"/>
              <w:szCs w:val="32"/>
            </w:rPr>
            <w:t>号</w:t>
          </w:r>
          <w:r>
            <w:rPr>
              <w:rStyle w:val="222"/>
              <w:rFonts w:ascii="仿宋" w:hAnsi="仿宋" w:eastAsia="仿宋" w:cs="Times New Roman"/>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_Toc34141402 \h </w:instrText>
          </w:r>
          <w:r>
            <w:rPr>
              <w:rFonts w:ascii="仿宋" w:hAnsi="仿宋" w:eastAsia="仿宋"/>
              <w:sz w:val="32"/>
              <w:szCs w:val="32"/>
            </w:rPr>
            <w:fldChar w:fldCharType="separate"/>
          </w:r>
          <w:r>
            <w:rPr>
              <w:rFonts w:ascii="仿宋" w:hAnsi="仿宋" w:eastAsia="仿宋"/>
              <w:sz w:val="32"/>
              <w:szCs w:val="32"/>
            </w:rPr>
            <w:t>10</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rPr>
              <w:rStyle w:val="222"/>
              <w:rFonts w:ascii="仿宋" w:hAnsi="仿宋" w:eastAsia="仿宋"/>
              <w:color w:val="auto"/>
              <w:sz w:val="32"/>
              <w:szCs w:val="32"/>
              <w:u w:val="none"/>
            </w:rPr>
            <w:t>5.</w:t>
          </w:r>
          <w:r>
            <w:fldChar w:fldCharType="begin"/>
          </w:r>
          <w:r>
            <w:instrText xml:space="preserve"> HYPERLINK \l "_Toc34141403" </w:instrText>
          </w:r>
          <w:r>
            <w:fldChar w:fldCharType="separate"/>
          </w:r>
          <w:r>
            <w:rPr>
              <w:rStyle w:val="222"/>
              <w:rFonts w:hint="eastAsia" w:ascii="仿宋" w:hAnsi="仿宋" w:eastAsia="仿宋"/>
              <w:sz w:val="32"/>
              <w:szCs w:val="32"/>
            </w:rPr>
            <w:t>国家医保局</w:t>
          </w:r>
          <w:r>
            <w:rPr>
              <w:rStyle w:val="222"/>
              <w:rFonts w:ascii="仿宋" w:hAnsi="仿宋" w:eastAsia="仿宋"/>
              <w:sz w:val="32"/>
              <w:szCs w:val="32"/>
            </w:rPr>
            <w:t xml:space="preserve"> </w:t>
          </w:r>
          <w:r>
            <w:rPr>
              <w:rStyle w:val="222"/>
              <w:rFonts w:hint="eastAsia" w:ascii="仿宋" w:hAnsi="仿宋" w:eastAsia="仿宋"/>
              <w:sz w:val="32"/>
              <w:szCs w:val="32"/>
            </w:rPr>
            <w:t>财政部</w:t>
          </w:r>
          <w:r>
            <w:rPr>
              <w:rStyle w:val="222"/>
              <w:rFonts w:ascii="仿宋" w:hAnsi="仿宋" w:eastAsia="仿宋"/>
              <w:sz w:val="32"/>
              <w:szCs w:val="32"/>
            </w:rPr>
            <w:t xml:space="preserve"> </w:t>
          </w:r>
          <w:r>
            <w:rPr>
              <w:rStyle w:val="222"/>
              <w:rFonts w:hint="eastAsia" w:ascii="仿宋" w:hAnsi="仿宋" w:eastAsia="仿宋"/>
              <w:sz w:val="32"/>
              <w:szCs w:val="32"/>
            </w:rPr>
            <w:t>税务总局关于阶段性减征职工基本医疗保险费的指导意见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_Toc34141403 \h </w:instrText>
          </w:r>
          <w:r>
            <w:rPr>
              <w:rFonts w:ascii="仿宋" w:hAnsi="仿宋" w:eastAsia="仿宋"/>
              <w:sz w:val="32"/>
              <w:szCs w:val="32"/>
            </w:rPr>
            <w:fldChar w:fldCharType="separate"/>
          </w:r>
          <w:r>
            <w:rPr>
              <w:rFonts w:ascii="仿宋" w:hAnsi="仿宋" w:eastAsia="仿宋"/>
              <w:sz w:val="32"/>
              <w:szCs w:val="32"/>
            </w:rPr>
            <w:t>15</w:t>
          </w:r>
          <w:r>
            <w:rPr>
              <w:rFonts w:ascii="仿宋" w:hAnsi="仿宋" w:eastAsia="仿宋"/>
              <w:sz w:val="32"/>
              <w:szCs w:val="32"/>
            </w:rPr>
            <w:fldChar w:fldCharType="end"/>
          </w:r>
          <w:r>
            <w:rPr>
              <w:rFonts w:ascii="仿宋" w:hAnsi="仿宋" w:eastAsia="仿宋"/>
              <w:sz w:val="32"/>
              <w:szCs w:val="32"/>
            </w:rPr>
            <w:fldChar w:fldCharType="end"/>
          </w:r>
        </w:p>
        <w:p>
          <w:pPr>
            <w:pStyle w:val="59"/>
            <w:tabs>
              <w:tab w:val="right" w:leader="dot" w:pos="8891"/>
            </w:tabs>
            <w:rPr>
              <w:rFonts w:ascii="仿宋" w:hAnsi="仿宋" w:eastAsia="仿宋"/>
              <w:sz w:val="32"/>
              <w:szCs w:val="32"/>
            </w:rPr>
          </w:pPr>
          <w:r>
            <w:fldChar w:fldCharType="begin"/>
          </w:r>
          <w:r>
            <w:instrText xml:space="preserve"> HYPERLINK \l "_Toc34141404" </w:instrText>
          </w:r>
          <w:r>
            <w:fldChar w:fldCharType="separate"/>
          </w:r>
          <w:r>
            <w:rPr>
              <w:rStyle w:val="222"/>
              <w:rFonts w:hint="eastAsia" w:asciiTheme="minorEastAsia" w:hAnsiTheme="minorEastAsia"/>
              <w:b/>
              <w:sz w:val="32"/>
              <w:szCs w:val="32"/>
            </w:rPr>
            <w:t>二、地方涉税政策</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_Toc34141404 \h </w:instrText>
          </w:r>
          <w:r>
            <w:rPr>
              <w:rFonts w:ascii="仿宋" w:hAnsi="仿宋" w:eastAsia="仿宋"/>
              <w:sz w:val="32"/>
              <w:szCs w:val="32"/>
            </w:rPr>
            <w:fldChar w:fldCharType="separate"/>
          </w:r>
          <w:r>
            <w:rPr>
              <w:rFonts w:ascii="仿宋" w:hAnsi="仿宋" w:eastAsia="仿宋"/>
              <w:sz w:val="32"/>
              <w:szCs w:val="32"/>
            </w:rPr>
            <w:t>17</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"_Toc34141405" </w:instrText>
          </w:r>
          <w:r>
            <w:fldChar w:fldCharType="separate"/>
          </w:r>
          <w:r>
            <w:rPr>
              <w:rStyle w:val="222"/>
              <w:rFonts w:hint="eastAsia" w:ascii="仿宋" w:hAnsi="仿宋" w:eastAsia="仿宋"/>
              <w:sz w:val="32"/>
              <w:szCs w:val="32"/>
            </w:rPr>
            <w:t>（一）北京市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_Toc34141405 \h </w:instrText>
          </w:r>
          <w:r>
            <w:rPr>
              <w:rFonts w:ascii="仿宋" w:hAnsi="仿宋" w:eastAsia="仿宋"/>
              <w:sz w:val="32"/>
              <w:szCs w:val="32"/>
            </w:rPr>
            <w:fldChar w:fldCharType="separate"/>
          </w:r>
          <w:r>
            <w:rPr>
              <w:rFonts w:ascii="仿宋" w:hAnsi="仿宋" w:eastAsia="仿宋"/>
              <w:sz w:val="32"/>
              <w:szCs w:val="32"/>
            </w:rPr>
            <w:t>17</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"_Toc34141406" </w:instrText>
          </w:r>
          <w:r>
            <w:fldChar w:fldCharType="separate"/>
          </w:r>
          <w:r>
            <w:rPr>
              <w:rStyle w:val="222"/>
              <w:rFonts w:hint="eastAsia" w:ascii="仿宋" w:hAnsi="仿宋" w:eastAsia="仿宋"/>
              <w:sz w:val="32"/>
              <w:szCs w:val="32"/>
            </w:rPr>
            <w:t>北京市社会保险基金管理中心关于参保单位办理已扣缴</w:t>
          </w:r>
          <w:r>
            <w:rPr>
              <w:rStyle w:val="222"/>
              <w:rFonts w:ascii="仿宋" w:hAnsi="仿宋" w:eastAsia="仿宋"/>
              <w:sz w:val="32"/>
              <w:szCs w:val="32"/>
            </w:rPr>
            <w:t>2020</w:t>
          </w:r>
          <w:r>
            <w:rPr>
              <w:rStyle w:val="222"/>
              <w:rFonts w:hint="eastAsia" w:ascii="仿宋" w:hAnsi="仿宋" w:eastAsia="仿宋"/>
              <w:sz w:val="32"/>
              <w:szCs w:val="32"/>
            </w:rPr>
            <w:t>年</w:t>
          </w:r>
          <w:r>
            <w:rPr>
              <w:rStyle w:val="222"/>
              <w:rFonts w:ascii="仿宋" w:hAnsi="仿宋" w:eastAsia="仿宋"/>
              <w:sz w:val="32"/>
              <w:szCs w:val="32"/>
            </w:rPr>
            <w:t>1</w:t>
          </w:r>
          <w:r>
            <w:rPr>
              <w:rStyle w:val="222"/>
              <w:rFonts w:hint="eastAsia" w:ascii="仿宋" w:hAnsi="仿宋" w:eastAsia="仿宋"/>
              <w:sz w:val="32"/>
              <w:szCs w:val="32"/>
            </w:rPr>
            <w:t>月份社会保险费（养老、失业、工伤保险费）退费及有关问题的通知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_Toc34141406 \h </w:instrText>
          </w:r>
          <w:r>
            <w:rPr>
              <w:rFonts w:ascii="仿宋" w:hAnsi="仿宋" w:eastAsia="仿宋"/>
              <w:sz w:val="32"/>
              <w:szCs w:val="32"/>
            </w:rPr>
            <w:fldChar w:fldCharType="separate"/>
          </w:r>
          <w:r>
            <w:rPr>
              <w:rFonts w:ascii="仿宋" w:hAnsi="仿宋" w:eastAsia="仿宋"/>
              <w:sz w:val="32"/>
              <w:szCs w:val="32"/>
            </w:rPr>
            <w:t>17</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"_Toc34141407" </w:instrText>
          </w:r>
          <w:r>
            <w:fldChar w:fldCharType="separate"/>
          </w:r>
          <w:r>
            <w:rPr>
              <w:rStyle w:val="222"/>
              <w:rFonts w:hint="eastAsia" w:ascii="仿宋" w:hAnsi="仿宋" w:eastAsia="仿宋"/>
              <w:sz w:val="32"/>
              <w:szCs w:val="32"/>
            </w:rPr>
            <w:t>国家税务总局北京市税务局关于电子发票服务平台接入验证工作的公告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_Toc34141407 \h </w:instrText>
          </w:r>
          <w:r>
            <w:rPr>
              <w:rFonts w:ascii="仿宋" w:hAnsi="仿宋" w:eastAsia="仿宋"/>
              <w:sz w:val="32"/>
              <w:szCs w:val="32"/>
            </w:rPr>
            <w:fldChar w:fldCharType="separate"/>
          </w:r>
          <w:r>
            <w:rPr>
              <w:rFonts w:ascii="仿宋" w:hAnsi="仿宋" w:eastAsia="仿宋"/>
              <w:sz w:val="32"/>
              <w:szCs w:val="32"/>
            </w:rPr>
            <w:t>18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"_Toc34141408" </w:instrText>
          </w:r>
          <w:r>
            <w:fldChar w:fldCharType="separate"/>
          </w:r>
          <w:r>
            <w:rPr>
              <w:rStyle w:val="222"/>
              <w:rFonts w:hint="eastAsia" w:ascii="仿宋" w:hAnsi="仿宋" w:eastAsia="仿宋"/>
              <w:sz w:val="32"/>
              <w:szCs w:val="32"/>
            </w:rPr>
            <w:t>北京市商务局关于新型冠状病毒肺炎疫情防控情况下稳定商务发展有关措施的通知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_Toc34141408 \h </w:instrText>
          </w:r>
          <w:r>
            <w:rPr>
              <w:rFonts w:ascii="仿宋" w:hAnsi="仿宋" w:eastAsia="仿宋"/>
              <w:sz w:val="32"/>
              <w:szCs w:val="32"/>
            </w:rPr>
            <w:fldChar w:fldCharType="separate"/>
          </w:r>
          <w:r>
            <w:rPr>
              <w:rFonts w:ascii="仿宋" w:hAnsi="仿宋" w:eastAsia="仿宋"/>
              <w:sz w:val="32"/>
              <w:szCs w:val="32"/>
            </w:rPr>
            <w:t>21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"_Toc34141409" </w:instrText>
          </w:r>
          <w:r>
            <w:fldChar w:fldCharType="separate"/>
          </w:r>
          <w:r>
            <w:rPr>
              <w:rStyle w:val="222"/>
              <w:rFonts w:hint="eastAsia" w:ascii="仿宋" w:hAnsi="仿宋" w:eastAsia="仿宋"/>
              <w:sz w:val="32"/>
              <w:szCs w:val="32"/>
            </w:rPr>
            <w:t>北京市文化改革和发展领导小组办公室关于应对新冠肺炎疫情影响促进文化企业健康发展的若干措施</w:t>
          </w:r>
          <w:r>
            <w:rPr>
              <w:rStyle w:val="222"/>
              <w:rFonts w:ascii="仿宋" w:hAnsi="仿宋" w:eastAsia="仿宋"/>
              <w:sz w:val="32"/>
              <w:szCs w:val="32"/>
            </w:rPr>
            <w:t xml:space="preserve"> </w:t>
          </w:r>
          <w:r>
            <w:rPr>
              <w:rStyle w:val="222"/>
              <w:rFonts w:hint="eastAsia" w:ascii="仿宋" w:hAnsi="仿宋" w:eastAsia="仿宋"/>
              <w:sz w:val="32"/>
              <w:szCs w:val="32"/>
            </w:rPr>
            <w:t>（京文领办发〔</w:t>
          </w:r>
          <w:r>
            <w:rPr>
              <w:rStyle w:val="222"/>
              <w:rFonts w:ascii="仿宋" w:hAnsi="仿宋" w:eastAsia="仿宋"/>
              <w:sz w:val="32"/>
              <w:szCs w:val="32"/>
            </w:rPr>
            <w:t>2020</w:t>
          </w:r>
          <w:r>
            <w:rPr>
              <w:rStyle w:val="222"/>
              <w:rFonts w:hint="eastAsia" w:ascii="仿宋" w:hAnsi="仿宋" w:eastAsia="仿宋"/>
              <w:sz w:val="32"/>
              <w:szCs w:val="32"/>
            </w:rPr>
            <w:t>〕</w:t>
          </w:r>
          <w:r>
            <w:rPr>
              <w:rStyle w:val="222"/>
              <w:rFonts w:ascii="仿宋" w:hAnsi="仿宋" w:eastAsia="仿宋"/>
              <w:sz w:val="32"/>
              <w:szCs w:val="32"/>
            </w:rPr>
            <w:t>1</w:t>
          </w:r>
          <w:r>
            <w:rPr>
              <w:rStyle w:val="222"/>
              <w:rFonts w:hint="eastAsia" w:ascii="仿宋" w:hAnsi="仿宋" w:eastAsia="仿宋"/>
              <w:sz w:val="32"/>
              <w:szCs w:val="32"/>
            </w:rPr>
            <w:t>号</w:t>
          </w:r>
          <w:r>
            <w:rPr>
              <w:rStyle w:val="222"/>
              <w:rFonts w:ascii="仿宋" w:hAnsi="仿宋" w:eastAsia="仿宋"/>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_Toc34141409 \h </w:instrText>
          </w:r>
          <w:r>
            <w:rPr>
              <w:rFonts w:ascii="仿宋" w:hAnsi="仿宋" w:eastAsia="仿宋"/>
              <w:sz w:val="32"/>
              <w:szCs w:val="32"/>
            </w:rPr>
            <w:fldChar w:fldCharType="separate"/>
          </w:r>
          <w:r>
            <w:rPr>
              <w:rFonts w:ascii="仿宋" w:hAnsi="仿宋" w:eastAsia="仿宋"/>
              <w:sz w:val="32"/>
              <w:szCs w:val="32"/>
            </w:rPr>
            <w:t>28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5.</w:t>
          </w:r>
          <w:r>
            <w:fldChar w:fldCharType="begin"/>
          </w:r>
          <w:r>
            <w:instrText xml:space="preserve"> HYPERLINK \l "_Toc34141410" </w:instrText>
          </w:r>
          <w:r>
            <w:fldChar w:fldCharType="separate"/>
          </w:r>
          <w:r>
            <w:rPr>
              <w:rStyle w:val="222"/>
              <w:rFonts w:hint="eastAsia" w:ascii="仿宋" w:hAnsi="仿宋" w:eastAsia="仿宋"/>
              <w:sz w:val="32"/>
              <w:szCs w:val="32"/>
            </w:rPr>
            <w:t>国家税务总局北京市税务局关于进一步延长</w:t>
          </w:r>
          <w:r>
            <w:rPr>
              <w:rStyle w:val="222"/>
              <w:rFonts w:ascii="仿宋" w:hAnsi="仿宋" w:eastAsia="仿宋"/>
              <w:sz w:val="32"/>
              <w:szCs w:val="32"/>
            </w:rPr>
            <w:t>2020</w:t>
          </w:r>
          <w:r>
            <w:rPr>
              <w:rStyle w:val="222"/>
              <w:rFonts w:hint="eastAsia" w:ascii="仿宋" w:hAnsi="仿宋" w:eastAsia="仿宋"/>
              <w:sz w:val="32"/>
              <w:szCs w:val="32"/>
            </w:rPr>
            <w:t>年</w:t>
          </w:r>
          <w:r>
            <w:rPr>
              <w:rStyle w:val="222"/>
              <w:rFonts w:ascii="仿宋" w:hAnsi="仿宋" w:eastAsia="仿宋"/>
              <w:sz w:val="32"/>
              <w:szCs w:val="32"/>
            </w:rPr>
            <w:t>2</w:t>
          </w:r>
          <w:r>
            <w:rPr>
              <w:rStyle w:val="222"/>
              <w:rFonts w:hint="eastAsia" w:ascii="仿宋" w:hAnsi="仿宋" w:eastAsia="仿宋"/>
              <w:sz w:val="32"/>
              <w:szCs w:val="32"/>
            </w:rPr>
            <w:t>月份纳税申报期限有关事项</w:t>
          </w:r>
          <w:r>
            <w:rPr>
              <w:rStyle w:val="222"/>
              <w:rFonts w:ascii="仿宋" w:hAnsi="仿宋" w:eastAsia="仿宋"/>
              <w:sz w:val="32"/>
              <w:szCs w:val="32"/>
            </w:rPr>
            <w:t xml:space="preserve"> </w:t>
          </w:r>
          <w:r>
            <w:rPr>
              <w:rStyle w:val="222"/>
              <w:rFonts w:hint="eastAsia" w:ascii="仿宋" w:hAnsi="仿宋" w:eastAsia="仿宋"/>
              <w:sz w:val="32"/>
              <w:szCs w:val="32"/>
            </w:rPr>
            <w:t>（国家税务总局北京市税务局通告</w:t>
          </w:r>
          <w:r>
            <w:rPr>
              <w:rStyle w:val="222"/>
              <w:rFonts w:ascii="仿宋" w:hAnsi="仿宋" w:eastAsia="仿宋"/>
              <w:sz w:val="32"/>
              <w:szCs w:val="32"/>
            </w:rPr>
            <w:t>2020</w:t>
          </w:r>
          <w:r>
            <w:rPr>
              <w:rStyle w:val="222"/>
              <w:rFonts w:hint="eastAsia" w:ascii="仿宋" w:hAnsi="仿宋" w:eastAsia="仿宋"/>
              <w:sz w:val="32"/>
              <w:szCs w:val="32"/>
            </w:rPr>
            <w:t>年第</w:t>
          </w:r>
          <w:r>
            <w:rPr>
              <w:rStyle w:val="222"/>
              <w:rFonts w:ascii="仿宋" w:hAnsi="仿宋" w:eastAsia="仿宋"/>
              <w:sz w:val="32"/>
              <w:szCs w:val="32"/>
            </w:rPr>
            <w:t>2</w:t>
          </w:r>
          <w:r>
            <w:rPr>
              <w:rStyle w:val="222"/>
              <w:rFonts w:hint="eastAsia" w:ascii="仿宋" w:hAnsi="仿宋" w:eastAsia="仿宋"/>
              <w:sz w:val="32"/>
              <w:szCs w:val="32"/>
            </w:rPr>
            <w:t>号</w:t>
          </w:r>
          <w:r>
            <w:rPr>
              <w:rStyle w:val="222"/>
              <w:rFonts w:ascii="仿宋" w:hAnsi="仿宋" w:eastAsia="仿宋"/>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_Toc34141410 \h </w:instrText>
          </w:r>
          <w:r>
            <w:rPr>
              <w:rFonts w:ascii="仿宋" w:hAnsi="仿宋" w:eastAsia="仿宋"/>
              <w:sz w:val="32"/>
              <w:szCs w:val="32"/>
            </w:rPr>
            <w:fldChar w:fldCharType="separate"/>
          </w:r>
          <w:r>
            <w:rPr>
              <w:rFonts w:ascii="仿宋" w:hAnsi="仿宋" w:eastAsia="仿宋"/>
              <w:sz w:val="32"/>
              <w:szCs w:val="32"/>
            </w:rPr>
            <w:t>37</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"_Toc34141411" </w:instrText>
          </w:r>
          <w:r>
            <w:fldChar w:fldCharType="separate"/>
          </w:r>
          <w:r>
            <w:rPr>
              <w:rStyle w:val="222"/>
              <w:rFonts w:hint="eastAsia" w:ascii="仿宋" w:hAnsi="仿宋" w:eastAsia="仿宋"/>
              <w:sz w:val="32"/>
              <w:szCs w:val="32"/>
            </w:rPr>
            <w:t>（二）天津市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_Toc34141411 \h </w:instrText>
          </w:r>
          <w:r>
            <w:rPr>
              <w:rFonts w:ascii="仿宋" w:hAnsi="仿宋" w:eastAsia="仿宋"/>
              <w:sz w:val="32"/>
              <w:szCs w:val="32"/>
            </w:rPr>
            <w:fldChar w:fldCharType="separate"/>
          </w:r>
          <w:r>
            <w:rPr>
              <w:rFonts w:ascii="仿宋" w:hAnsi="仿宋" w:eastAsia="仿宋"/>
              <w:sz w:val="32"/>
              <w:szCs w:val="32"/>
            </w:rPr>
            <w:t>38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"_Toc34141412" </w:instrText>
          </w:r>
          <w:r>
            <w:fldChar w:fldCharType="separate"/>
          </w:r>
          <w:r>
            <w:rPr>
              <w:rStyle w:val="222"/>
              <w:rFonts w:hint="eastAsia" w:ascii="仿宋" w:hAnsi="仿宋" w:eastAsia="仿宋"/>
              <w:sz w:val="32"/>
              <w:szCs w:val="32"/>
            </w:rPr>
            <w:t>国家税务总局天津市税务局关于电子发票服务平台接入验证工作的公告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_Toc34141412 \h </w:instrText>
          </w:r>
          <w:r>
            <w:rPr>
              <w:rFonts w:ascii="仿宋" w:hAnsi="仿宋" w:eastAsia="仿宋"/>
              <w:sz w:val="32"/>
              <w:szCs w:val="32"/>
            </w:rPr>
            <w:fldChar w:fldCharType="separate"/>
          </w:r>
          <w:r>
            <w:rPr>
              <w:rFonts w:ascii="仿宋" w:hAnsi="仿宋" w:eastAsia="仿宋"/>
              <w:sz w:val="32"/>
              <w:szCs w:val="32"/>
            </w:rPr>
            <w:t>38</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"_Toc34141413" </w:instrText>
          </w:r>
          <w:r>
            <w:fldChar w:fldCharType="separate"/>
          </w:r>
          <w:r>
            <w:rPr>
              <w:rStyle w:val="222"/>
              <w:rFonts w:hint="eastAsia" w:ascii="仿宋" w:hAnsi="仿宋" w:eastAsia="仿宋"/>
              <w:sz w:val="32"/>
              <w:szCs w:val="32"/>
            </w:rPr>
            <w:t>（三）河北省（无更新）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_Toc34141413 \h </w:instrText>
          </w:r>
          <w:r>
            <w:rPr>
              <w:rFonts w:ascii="仿宋" w:hAnsi="仿宋" w:eastAsia="仿宋"/>
              <w:sz w:val="32"/>
              <w:szCs w:val="32"/>
            </w:rPr>
            <w:fldChar w:fldCharType="separate"/>
          </w:r>
          <w:r>
            <w:rPr>
              <w:rFonts w:ascii="仿宋" w:hAnsi="仿宋" w:eastAsia="仿宋"/>
              <w:sz w:val="32"/>
              <w:szCs w:val="32"/>
            </w:rPr>
            <w:t>42</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"_Toc34141415" </w:instrText>
          </w:r>
          <w:r>
            <w:fldChar w:fldCharType="separate"/>
          </w:r>
          <w:r>
            <w:rPr>
              <w:rStyle w:val="222"/>
              <w:rFonts w:hint="eastAsia" w:ascii="仿宋" w:hAnsi="仿宋" w:eastAsia="仿宋"/>
              <w:sz w:val="32"/>
              <w:szCs w:val="32"/>
            </w:rPr>
            <w:t>（四）山西省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_Toc34141415 \h </w:instrText>
          </w:r>
          <w:r>
            <w:rPr>
              <w:rFonts w:ascii="仿宋" w:hAnsi="仿宋" w:eastAsia="仿宋"/>
              <w:sz w:val="32"/>
              <w:szCs w:val="32"/>
            </w:rPr>
            <w:fldChar w:fldCharType="separate"/>
          </w:r>
          <w:r>
            <w:rPr>
              <w:rFonts w:ascii="仿宋" w:hAnsi="仿宋" w:eastAsia="仿宋"/>
              <w:sz w:val="32"/>
              <w:szCs w:val="32"/>
            </w:rPr>
            <w:t>43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"_Toc34141416" </w:instrText>
          </w:r>
          <w:r>
            <w:fldChar w:fldCharType="separate"/>
          </w:r>
          <w:r>
            <w:rPr>
              <w:rStyle w:val="222"/>
              <w:rFonts w:hint="eastAsia" w:ascii="仿宋" w:hAnsi="仿宋" w:eastAsia="仿宋" w:cs="Times New Roman"/>
              <w:kern w:val="0"/>
              <w:sz w:val="32"/>
              <w:szCs w:val="32"/>
            </w:rPr>
            <w:t>国家税务总局山西省税务局关于企业自建和第三方电子发票服务平台接入验证的公告</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（国家税务总局山西省税务局公告</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年第</w:t>
          </w:r>
          <w:r>
            <w:rPr>
              <w:rStyle w:val="222"/>
              <w:rFonts w:ascii="仿宋" w:hAnsi="仿宋" w:eastAsia="仿宋" w:cs="Times New Roman"/>
              <w:kern w:val="0"/>
              <w:sz w:val="32"/>
              <w:szCs w:val="32"/>
            </w:rPr>
            <w:t>5</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_Toc34141416 \h </w:instrText>
          </w:r>
          <w:r>
            <w:rPr>
              <w:rFonts w:ascii="仿宋" w:hAnsi="仿宋" w:eastAsia="仿宋"/>
              <w:sz w:val="32"/>
              <w:szCs w:val="32"/>
            </w:rPr>
            <w:fldChar w:fldCharType="separate"/>
          </w:r>
          <w:r>
            <w:rPr>
              <w:rFonts w:ascii="仿宋" w:hAnsi="仿宋" w:eastAsia="仿宋"/>
              <w:sz w:val="32"/>
              <w:szCs w:val="32"/>
            </w:rPr>
            <w:t>43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"_Toc34141417" </w:instrText>
          </w:r>
          <w:r>
            <w:fldChar w:fldCharType="separate"/>
          </w:r>
          <w:r>
            <w:rPr>
              <w:rStyle w:val="222"/>
              <w:rFonts w:hint="eastAsia" w:ascii="仿宋" w:hAnsi="仿宋" w:eastAsia="仿宋" w:cs="Times New Roman"/>
              <w:kern w:val="0"/>
              <w:sz w:val="32"/>
              <w:szCs w:val="32"/>
            </w:rPr>
            <w:t>国家税务总局山西省税务局疫情防控期间税费优惠政策和征管服务措施汇编</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w:t>
          </w:r>
          <w:r>
            <w:rPr>
              <w:rStyle w:val="222"/>
              <w:rFonts w:ascii="仿宋" w:hAnsi="仿宋" w:eastAsia="仿宋" w:cs="Times New Roman"/>
              <w:kern w:val="0"/>
              <w:sz w:val="32"/>
              <w:szCs w:val="32"/>
            </w:rPr>
            <w:t>14</w:t>
          </w:r>
          <w:r>
            <w:rPr>
              <w:rStyle w:val="222"/>
              <w:rFonts w:hint="eastAsia" w:ascii="仿宋" w:hAnsi="仿宋" w:eastAsia="仿宋" w:cs="Times New Roman"/>
              <w:kern w:val="0"/>
              <w:sz w:val="32"/>
              <w:szCs w:val="32"/>
            </w:rPr>
            <w:t>日更新）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_Toc34141417 \h </w:instrText>
          </w:r>
          <w:r>
            <w:rPr>
              <w:rFonts w:ascii="仿宋" w:hAnsi="仿宋" w:eastAsia="仿宋"/>
              <w:sz w:val="32"/>
              <w:szCs w:val="32"/>
            </w:rPr>
            <w:fldChar w:fldCharType="separate"/>
          </w:r>
          <w:r>
            <w:rPr>
              <w:rFonts w:ascii="仿宋" w:hAnsi="仿宋" w:eastAsia="仿宋"/>
              <w:sz w:val="32"/>
              <w:szCs w:val="32"/>
            </w:rPr>
            <w:t>46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"_Toc34141418" </w:instrText>
          </w:r>
          <w:r>
            <w:fldChar w:fldCharType="separate"/>
          </w:r>
          <w:r>
            <w:rPr>
              <w:rStyle w:val="222"/>
              <w:rFonts w:hint="eastAsia" w:ascii="仿宋" w:hAnsi="仿宋" w:eastAsia="仿宋" w:cs="Times New Roman"/>
              <w:kern w:val="0"/>
              <w:sz w:val="32"/>
              <w:szCs w:val="32"/>
            </w:rPr>
            <w:t>国家税务总局山西省税务局给广大抗疫医疗机构、医护人员享受税费优惠政策和便捷办税服务的温馨提示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_Toc34141418 \h </w:instrText>
          </w:r>
          <w:r>
            <w:rPr>
              <w:rFonts w:ascii="仿宋" w:hAnsi="仿宋" w:eastAsia="仿宋"/>
              <w:sz w:val="32"/>
              <w:szCs w:val="32"/>
            </w:rPr>
            <w:fldChar w:fldCharType="separate"/>
          </w:r>
          <w:r>
            <w:rPr>
              <w:rFonts w:ascii="仿宋" w:hAnsi="仿宋" w:eastAsia="仿宋"/>
              <w:sz w:val="32"/>
              <w:szCs w:val="32"/>
            </w:rPr>
            <w:t>46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"_Toc34141419" </w:instrText>
          </w:r>
          <w:r>
            <w:fldChar w:fldCharType="separate"/>
          </w:r>
          <w:r>
            <w:rPr>
              <w:rStyle w:val="222"/>
              <w:rFonts w:hint="eastAsia" w:ascii="仿宋" w:hAnsi="仿宋" w:eastAsia="仿宋"/>
              <w:sz w:val="32"/>
              <w:szCs w:val="32"/>
            </w:rPr>
            <w:t>疫情防控期间税费优惠政策和征管服务措施汇编</w:t>
          </w:r>
          <w:r>
            <w:rPr>
              <w:rStyle w:val="222"/>
              <w:rFonts w:ascii="仿宋" w:hAnsi="仿宋" w:eastAsia="仿宋"/>
              <w:sz w:val="32"/>
              <w:szCs w:val="32"/>
            </w:rPr>
            <w:t xml:space="preserve"> </w:t>
          </w:r>
          <w:r>
            <w:rPr>
              <w:rStyle w:val="222"/>
              <w:rFonts w:hint="eastAsia" w:ascii="仿宋" w:hAnsi="仿宋" w:eastAsia="仿宋"/>
              <w:sz w:val="32"/>
              <w:szCs w:val="32"/>
            </w:rPr>
            <w:t>（</w:t>
          </w:r>
          <w:r>
            <w:rPr>
              <w:rStyle w:val="222"/>
              <w:rFonts w:ascii="仿宋" w:hAnsi="仿宋" w:eastAsia="仿宋"/>
              <w:sz w:val="32"/>
              <w:szCs w:val="32"/>
            </w:rPr>
            <w:t>2020</w:t>
          </w:r>
          <w:r>
            <w:rPr>
              <w:rStyle w:val="222"/>
              <w:rFonts w:hint="eastAsia" w:ascii="仿宋" w:hAnsi="仿宋" w:eastAsia="仿宋"/>
              <w:sz w:val="32"/>
              <w:szCs w:val="32"/>
            </w:rPr>
            <w:t>年</w:t>
          </w:r>
          <w:r>
            <w:rPr>
              <w:rStyle w:val="222"/>
              <w:rFonts w:ascii="仿宋" w:hAnsi="仿宋" w:eastAsia="仿宋"/>
              <w:sz w:val="32"/>
              <w:szCs w:val="32"/>
            </w:rPr>
            <w:t>2</w:t>
          </w:r>
          <w:r>
            <w:rPr>
              <w:rStyle w:val="222"/>
              <w:rFonts w:hint="eastAsia" w:ascii="仿宋" w:hAnsi="仿宋" w:eastAsia="仿宋"/>
              <w:sz w:val="32"/>
              <w:szCs w:val="32"/>
            </w:rPr>
            <w:t>月</w:t>
          </w:r>
          <w:r>
            <w:rPr>
              <w:rStyle w:val="222"/>
              <w:rFonts w:ascii="仿宋" w:hAnsi="仿宋" w:eastAsia="仿宋"/>
              <w:sz w:val="32"/>
              <w:szCs w:val="32"/>
            </w:rPr>
            <w:t>24</w:t>
          </w:r>
          <w:r>
            <w:rPr>
              <w:rStyle w:val="222"/>
              <w:rFonts w:hint="eastAsia" w:ascii="仿宋" w:hAnsi="仿宋" w:eastAsia="仿宋"/>
              <w:sz w:val="32"/>
              <w:szCs w:val="32"/>
            </w:rPr>
            <w:t>日更新）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_Toc34141419 \h </w:instrText>
          </w:r>
          <w:r>
            <w:rPr>
              <w:rFonts w:ascii="仿宋" w:hAnsi="仿宋" w:eastAsia="仿宋"/>
              <w:sz w:val="32"/>
              <w:szCs w:val="32"/>
            </w:rPr>
            <w:fldChar w:fldCharType="separate"/>
          </w:r>
          <w:r>
            <w:rPr>
              <w:rFonts w:ascii="仿宋" w:hAnsi="仿宋" w:eastAsia="仿宋"/>
              <w:sz w:val="32"/>
              <w:szCs w:val="32"/>
            </w:rPr>
            <w:t>47</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ind w:left="630" w:leftChars="300"/>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"_Toc34141420" </w:instrText>
          </w:r>
          <w:r>
            <w:fldChar w:fldCharType="separate"/>
          </w:r>
          <w:r>
            <w:rPr>
              <w:rStyle w:val="222"/>
              <w:rFonts w:hint="eastAsia" w:ascii="仿宋" w:hAnsi="仿宋" w:eastAsia="仿宋" w:cs="宋体"/>
              <w:kern w:val="0"/>
              <w:sz w:val="32"/>
              <w:szCs w:val="32"/>
            </w:rPr>
            <w:t>山西省总工会</w:t>
          </w:r>
          <w:r>
            <w:rPr>
              <w:rStyle w:val="222"/>
              <w:rFonts w:ascii="仿宋" w:hAnsi="仿宋" w:eastAsia="仿宋" w:cs="宋体"/>
              <w:kern w:val="0"/>
              <w:sz w:val="32"/>
              <w:szCs w:val="32"/>
            </w:rPr>
            <w:t xml:space="preserve"> </w:t>
          </w:r>
          <w:r>
            <w:rPr>
              <w:rStyle w:val="222"/>
              <w:rFonts w:hint="eastAsia" w:ascii="仿宋" w:hAnsi="仿宋" w:eastAsia="仿宋" w:cs="宋体"/>
              <w:kern w:val="0"/>
              <w:sz w:val="32"/>
              <w:szCs w:val="32"/>
            </w:rPr>
            <w:t>国家税务总局山西省税务局关于疫情防控期间延期缴纳工会经费的通知晋工发〔</w:t>
          </w:r>
          <w:r>
            <w:rPr>
              <w:rStyle w:val="222"/>
              <w:rFonts w:ascii="仿宋" w:hAnsi="仿宋" w:eastAsia="仿宋" w:cs="宋体"/>
              <w:kern w:val="0"/>
              <w:sz w:val="32"/>
              <w:szCs w:val="32"/>
            </w:rPr>
            <w:t>2020</w:t>
          </w:r>
          <w:r>
            <w:rPr>
              <w:rStyle w:val="222"/>
              <w:rFonts w:hint="eastAsia" w:ascii="仿宋" w:hAnsi="仿宋" w:eastAsia="仿宋" w:cs="宋体"/>
              <w:kern w:val="0"/>
              <w:sz w:val="32"/>
              <w:szCs w:val="32"/>
            </w:rPr>
            <w:t>〕</w:t>
          </w:r>
          <w:r>
            <w:rPr>
              <w:rStyle w:val="222"/>
              <w:rFonts w:ascii="仿宋" w:hAnsi="仿宋" w:eastAsia="仿宋" w:cs="宋体"/>
              <w:kern w:val="0"/>
              <w:sz w:val="32"/>
              <w:szCs w:val="32"/>
            </w:rPr>
            <w:t>1</w:t>
          </w:r>
          <w:r>
            <w:rPr>
              <w:rStyle w:val="222"/>
              <w:rFonts w:hint="eastAsia" w:ascii="仿宋" w:hAnsi="仿宋" w:eastAsia="仿宋" w:cs="宋体"/>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_Toc34141420 \h </w:instrText>
          </w:r>
          <w:r>
            <w:rPr>
              <w:rFonts w:ascii="仿宋" w:hAnsi="仿宋" w:eastAsia="仿宋"/>
              <w:sz w:val="32"/>
              <w:szCs w:val="32"/>
            </w:rPr>
            <w:fldChar w:fldCharType="separate"/>
          </w:r>
          <w:r>
            <w:rPr>
              <w:rFonts w:ascii="仿宋" w:hAnsi="仿宋" w:eastAsia="仿宋"/>
              <w:sz w:val="32"/>
              <w:szCs w:val="32"/>
            </w:rPr>
            <w:t>48</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"_Toc34141421" </w:instrText>
          </w:r>
          <w:r>
            <w:fldChar w:fldCharType="separate"/>
          </w:r>
          <w:r>
            <w:rPr>
              <w:rStyle w:val="222"/>
              <w:rFonts w:hint="eastAsia" w:ascii="仿宋" w:hAnsi="仿宋" w:eastAsia="仿宋"/>
              <w:sz w:val="32"/>
              <w:szCs w:val="32"/>
            </w:rPr>
            <w:t>（五）内蒙古自治区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_Toc34141421 \h </w:instrText>
          </w:r>
          <w:r>
            <w:rPr>
              <w:rFonts w:ascii="仿宋" w:hAnsi="仿宋" w:eastAsia="仿宋"/>
              <w:sz w:val="32"/>
              <w:szCs w:val="32"/>
            </w:rPr>
            <w:fldChar w:fldCharType="separate"/>
          </w:r>
          <w:r>
            <w:rPr>
              <w:rFonts w:ascii="仿宋" w:hAnsi="仿宋" w:eastAsia="仿宋"/>
              <w:sz w:val="32"/>
              <w:szCs w:val="32"/>
            </w:rPr>
            <w:t>50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"_Toc34141422" </w:instrText>
          </w:r>
          <w:r>
            <w:fldChar w:fldCharType="separate"/>
          </w:r>
          <w:r>
            <w:rPr>
              <w:rStyle w:val="222"/>
              <w:rFonts w:hint="eastAsia" w:ascii="仿宋" w:hAnsi="仿宋" w:eastAsia="仿宋"/>
              <w:sz w:val="32"/>
              <w:szCs w:val="32"/>
            </w:rPr>
            <w:t>国家税务总局内蒙古自治区税务局关于电子发票服务平台接入验证工作的公告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_Toc34141422 \h </w:instrText>
          </w:r>
          <w:r>
            <w:rPr>
              <w:rFonts w:ascii="仿宋" w:hAnsi="仿宋" w:eastAsia="仿宋"/>
              <w:sz w:val="32"/>
              <w:szCs w:val="32"/>
            </w:rPr>
            <w:fldChar w:fldCharType="separate"/>
          </w:r>
          <w:r>
            <w:rPr>
              <w:rFonts w:ascii="仿宋" w:hAnsi="仿宋" w:eastAsia="仿宋"/>
              <w:sz w:val="32"/>
              <w:szCs w:val="32"/>
            </w:rPr>
            <w:t>50</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"_Toc34141423" </w:instrText>
          </w:r>
          <w:r>
            <w:fldChar w:fldCharType="separate"/>
          </w:r>
          <w:r>
            <w:rPr>
              <w:rStyle w:val="222"/>
              <w:rFonts w:hint="eastAsia" w:ascii="仿宋" w:hAnsi="仿宋" w:eastAsia="仿宋"/>
              <w:sz w:val="32"/>
              <w:szCs w:val="32"/>
            </w:rPr>
            <w:t>（六）辽宁省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_Toc34141423 \h </w:instrText>
          </w:r>
          <w:r>
            <w:rPr>
              <w:rFonts w:ascii="仿宋" w:hAnsi="仿宋" w:eastAsia="仿宋"/>
              <w:sz w:val="32"/>
              <w:szCs w:val="32"/>
            </w:rPr>
            <w:fldChar w:fldCharType="separate"/>
          </w:r>
          <w:r>
            <w:rPr>
              <w:rFonts w:ascii="仿宋" w:hAnsi="仿宋" w:eastAsia="仿宋"/>
              <w:sz w:val="32"/>
              <w:szCs w:val="32"/>
            </w:rPr>
            <w:t>53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"_Toc34141424" </w:instrText>
          </w:r>
          <w:r>
            <w:fldChar w:fldCharType="separate"/>
          </w:r>
          <w:r>
            <w:rPr>
              <w:rStyle w:val="222"/>
              <w:rFonts w:hint="eastAsia" w:ascii="仿宋" w:hAnsi="仿宋" w:eastAsia="仿宋"/>
              <w:sz w:val="32"/>
              <w:szCs w:val="32"/>
            </w:rPr>
            <w:t>国家税务总局辽宁省税务局企业所得税汇算清缴服务手册</w:t>
          </w:r>
          <w:r>
            <w:rPr>
              <w:rStyle w:val="222"/>
              <w:rFonts w:ascii="仿宋" w:hAnsi="仿宋" w:eastAsia="仿宋"/>
              <w:sz w:val="32"/>
              <w:szCs w:val="32"/>
            </w:rPr>
            <w:t xml:space="preserve"> </w:t>
          </w:r>
          <w:r>
            <w:rPr>
              <w:rStyle w:val="222"/>
              <w:rFonts w:hint="eastAsia" w:ascii="仿宋" w:hAnsi="仿宋" w:eastAsia="仿宋"/>
              <w:sz w:val="32"/>
              <w:szCs w:val="32"/>
            </w:rPr>
            <w:t>（</w:t>
          </w:r>
          <w:r>
            <w:rPr>
              <w:rStyle w:val="222"/>
              <w:rFonts w:ascii="仿宋" w:hAnsi="仿宋" w:eastAsia="仿宋"/>
              <w:sz w:val="32"/>
              <w:szCs w:val="32"/>
            </w:rPr>
            <w:t>2020</w:t>
          </w:r>
          <w:r>
            <w:rPr>
              <w:rStyle w:val="222"/>
              <w:rFonts w:hint="eastAsia" w:ascii="仿宋" w:hAnsi="仿宋" w:eastAsia="仿宋"/>
              <w:sz w:val="32"/>
              <w:szCs w:val="32"/>
            </w:rPr>
            <w:t>版）</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_Toc34141424 \h </w:instrText>
          </w:r>
          <w:r>
            <w:rPr>
              <w:rFonts w:ascii="仿宋" w:hAnsi="仿宋" w:eastAsia="仿宋"/>
              <w:sz w:val="32"/>
              <w:szCs w:val="32"/>
            </w:rPr>
            <w:fldChar w:fldCharType="separate"/>
          </w:r>
          <w:r>
            <w:rPr>
              <w:rFonts w:ascii="仿宋" w:hAnsi="仿宋" w:eastAsia="仿宋"/>
              <w:sz w:val="32"/>
              <w:szCs w:val="32"/>
            </w:rPr>
            <w:t>53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"_Toc34141425" </w:instrText>
          </w:r>
          <w:r>
            <w:fldChar w:fldCharType="separate"/>
          </w:r>
          <w:r>
            <w:rPr>
              <w:rStyle w:val="222"/>
              <w:rFonts w:hint="eastAsia" w:ascii="仿宋" w:hAnsi="仿宋" w:eastAsia="仿宋"/>
              <w:sz w:val="32"/>
              <w:szCs w:val="32"/>
            </w:rPr>
            <w:t>国家税务总局辽宁省税务局直播回放支持疫情防控增值税新政及实务解析</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_Toc34141425 \h </w:instrText>
          </w:r>
          <w:r>
            <w:rPr>
              <w:rFonts w:ascii="仿宋" w:hAnsi="仿宋" w:eastAsia="仿宋"/>
              <w:sz w:val="32"/>
              <w:szCs w:val="32"/>
            </w:rPr>
            <w:fldChar w:fldCharType="separate"/>
          </w:r>
          <w:r>
            <w:rPr>
              <w:rFonts w:ascii="仿宋" w:hAnsi="仿宋" w:eastAsia="仿宋"/>
              <w:sz w:val="32"/>
              <w:szCs w:val="32"/>
            </w:rPr>
            <w:t>53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"_Toc34141426" </w:instrText>
          </w:r>
          <w:r>
            <w:fldChar w:fldCharType="separate"/>
          </w:r>
          <w:r>
            <w:rPr>
              <w:rStyle w:val="222"/>
              <w:rFonts w:hint="eastAsia" w:ascii="仿宋" w:hAnsi="仿宋" w:eastAsia="仿宋"/>
              <w:sz w:val="32"/>
              <w:szCs w:val="32"/>
            </w:rPr>
            <w:t>国家税务总局辽宁省税务局疫情防控税收优惠</w:t>
          </w:r>
          <w:r>
            <w:rPr>
              <w:rStyle w:val="222"/>
              <w:rFonts w:ascii="仿宋" w:hAnsi="仿宋" w:eastAsia="仿宋"/>
              <w:sz w:val="32"/>
              <w:szCs w:val="32"/>
            </w:rPr>
            <w:t xml:space="preserve">  </w:t>
          </w:r>
          <w:r>
            <w:rPr>
              <w:rStyle w:val="222"/>
              <w:rFonts w:hint="eastAsia" w:ascii="仿宋" w:hAnsi="仿宋" w:eastAsia="仿宋"/>
              <w:sz w:val="32"/>
              <w:szCs w:val="32"/>
            </w:rPr>
            <w:t>复工复产税政指南</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_Toc34141426 \h </w:instrText>
          </w:r>
          <w:r>
            <w:rPr>
              <w:rFonts w:ascii="仿宋" w:hAnsi="仿宋" w:eastAsia="仿宋"/>
              <w:sz w:val="32"/>
              <w:szCs w:val="32"/>
            </w:rPr>
            <w:fldChar w:fldCharType="separate"/>
          </w:r>
          <w:r>
            <w:rPr>
              <w:rFonts w:ascii="仿宋" w:hAnsi="仿宋" w:eastAsia="仿宋"/>
              <w:sz w:val="32"/>
              <w:szCs w:val="32"/>
            </w:rPr>
            <w:t>53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"_Toc34141427" </w:instrText>
          </w:r>
          <w:r>
            <w:fldChar w:fldCharType="separate"/>
          </w:r>
          <w:r>
            <w:rPr>
              <w:rStyle w:val="222"/>
              <w:rFonts w:hint="eastAsia" w:ascii="仿宋" w:hAnsi="仿宋" w:eastAsia="仿宋"/>
              <w:sz w:val="32"/>
              <w:szCs w:val="32"/>
            </w:rPr>
            <w:t>国家税务总局大连市税务局疫情防控期间“非接触式”办税工作指引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_Toc34141427 \h </w:instrText>
          </w:r>
          <w:r>
            <w:rPr>
              <w:rFonts w:ascii="仿宋" w:hAnsi="仿宋" w:eastAsia="仿宋"/>
              <w:sz w:val="32"/>
              <w:szCs w:val="32"/>
            </w:rPr>
            <w:fldChar w:fldCharType="separate"/>
          </w:r>
          <w:r>
            <w:rPr>
              <w:rFonts w:ascii="仿宋" w:hAnsi="仿宋" w:eastAsia="仿宋"/>
              <w:sz w:val="32"/>
              <w:szCs w:val="32"/>
            </w:rPr>
            <w:t>53</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"_Toc34141428" </w:instrText>
          </w:r>
          <w:r>
            <w:fldChar w:fldCharType="separate"/>
          </w:r>
          <w:r>
            <w:rPr>
              <w:rStyle w:val="222"/>
              <w:rFonts w:hint="eastAsia" w:ascii="仿宋" w:hAnsi="仿宋" w:eastAsia="仿宋"/>
              <w:sz w:val="32"/>
              <w:szCs w:val="32"/>
            </w:rPr>
            <w:t>（七）吉林省（无更新）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_Toc34141428 \h </w:instrText>
          </w:r>
          <w:r>
            <w:rPr>
              <w:rFonts w:ascii="仿宋" w:hAnsi="仿宋" w:eastAsia="仿宋"/>
              <w:sz w:val="32"/>
              <w:szCs w:val="32"/>
            </w:rPr>
            <w:fldChar w:fldCharType="separate"/>
          </w:r>
          <w:r>
            <w:rPr>
              <w:rFonts w:ascii="仿宋" w:hAnsi="仿宋" w:eastAsia="仿宋"/>
              <w:sz w:val="32"/>
              <w:szCs w:val="32"/>
            </w:rPr>
            <w:t>57</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"_Toc34141430" </w:instrText>
          </w:r>
          <w:r>
            <w:fldChar w:fldCharType="separate"/>
          </w:r>
          <w:r>
            <w:rPr>
              <w:rStyle w:val="222"/>
              <w:rFonts w:hint="eastAsia" w:ascii="仿宋" w:hAnsi="仿宋" w:eastAsia="仿宋"/>
              <w:sz w:val="32"/>
              <w:szCs w:val="32"/>
            </w:rPr>
            <w:t>（八）黑龙江省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_Toc34141430 \h </w:instrText>
          </w:r>
          <w:r>
            <w:rPr>
              <w:rFonts w:ascii="仿宋" w:hAnsi="仿宋" w:eastAsia="仿宋"/>
              <w:sz w:val="32"/>
              <w:szCs w:val="32"/>
            </w:rPr>
            <w:fldChar w:fldCharType="separate"/>
          </w:r>
          <w:r>
            <w:rPr>
              <w:rFonts w:ascii="仿宋" w:hAnsi="仿宋" w:eastAsia="仿宋"/>
              <w:sz w:val="32"/>
              <w:szCs w:val="32"/>
            </w:rPr>
            <w:t>58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"_Toc34141431" </w:instrText>
          </w:r>
          <w:r>
            <w:fldChar w:fldCharType="separate"/>
          </w:r>
          <w:r>
            <w:rPr>
              <w:rStyle w:val="222"/>
              <w:rFonts w:hint="eastAsia" w:ascii="仿宋" w:hAnsi="仿宋" w:eastAsia="仿宋"/>
              <w:sz w:val="32"/>
              <w:szCs w:val="32"/>
            </w:rPr>
            <w:t>国家税务总局黑龙江省税务局关于电子发票服务平台接入验证工作的公告</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（国家税务总局黑龙江省税务局</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年第</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号</w:t>
          </w:r>
          <w:r>
            <w:rPr>
              <w:rStyle w:val="222"/>
              <w:rFonts w:ascii="仿宋" w:hAnsi="仿宋" w:eastAsia="仿宋" w:cs="Times New Roman"/>
              <w:kern w:val="0"/>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_Toc34141431 \h </w:instrText>
          </w:r>
          <w:r>
            <w:rPr>
              <w:rFonts w:ascii="仿宋" w:hAnsi="仿宋" w:eastAsia="仿宋"/>
              <w:sz w:val="32"/>
              <w:szCs w:val="32"/>
            </w:rPr>
            <w:fldChar w:fldCharType="separate"/>
          </w:r>
          <w:r>
            <w:rPr>
              <w:rFonts w:ascii="仿宋" w:hAnsi="仿宋" w:eastAsia="仿宋"/>
              <w:sz w:val="32"/>
              <w:szCs w:val="32"/>
            </w:rPr>
            <w:t>58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"_Toc34141432" </w:instrText>
          </w:r>
          <w:r>
            <w:fldChar w:fldCharType="separate"/>
          </w:r>
          <w:r>
            <w:rPr>
              <w:rStyle w:val="222"/>
              <w:rFonts w:hint="eastAsia" w:ascii="仿宋" w:hAnsi="仿宋" w:eastAsia="仿宋"/>
              <w:sz w:val="32"/>
              <w:szCs w:val="32"/>
            </w:rPr>
            <w:t>黑龙江省财政厅国家税务总局黑龙江省税务局黑龙江省民政厅关于公布全省</w:t>
          </w:r>
          <w:r>
            <w:rPr>
              <w:rStyle w:val="222"/>
              <w:rFonts w:ascii="仿宋" w:hAnsi="仿宋" w:eastAsia="仿宋"/>
              <w:sz w:val="32"/>
              <w:szCs w:val="32"/>
            </w:rPr>
            <w:t>2019</w:t>
          </w:r>
          <w:r>
            <w:rPr>
              <w:rStyle w:val="222"/>
              <w:rFonts w:hint="eastAsia" w:ascii="仿宋" w:hAnsi="仿宋" w:eastAsia="仿宋"/>
              <w:sz w:val="32"/>
              <w:szCs w:val="32"/>
            </w:rPr>
            <w:t>年和</w:t>
          </w:r>
          <w:r>
            <w:rPr>
              <w:rStyle w:val="222"/>
              <w:rFonts w:ascii="仿宋" w:hAnsi="仿宋" w:eastAsia="仿宋"/>
              <w:sz w:val="32"/>
              <w:szCs w:val="32"/>
            </w:rPr>
            <w:t>2020</w:t>
          </w:r>
          <w:r>
            <w:rPr>
              <w:rStyle w:val="222"/>
              <w:rFonts w:hint="eastAsia" w:ascii="仿宋" w:hAnsi="仿宋" w:eastAsia="仿宋"/>
              <w:sz w:val="32"/>
              <w:szCs w:val="32"/>
            </w:rPr>
            <w:t>年获得公益性捐赠税前扣除资格的公益性社会团体名单的公告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_Toc34141432 \h </w:instrText>
          </w:r>
          <w:r>
            <w:rPr>
              <w:rFonts w:ascii="仿宋" w:hAnsi="仿宋" w:eastAsia="仿宋"/>
              <w:sz w:val="32"/>
              <w:szCs w:val="32"/>
            </w:rPr>
            <w:fldChar w:fldCharType="separate"/>
          </w:r>
          <w:r>
            <w:rPr>
              <w:rFonts w:ascii="仿宋" w:hAnsi="仿宋" w:eastAsia="仿宋"/>
              <w:sz w:val="32"/>
              <w:szCs w:val="32"/>
            </w:rPr>
            <w:t>61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rPr>
              <w:rStyle w:val="222"/>
              <w:rFonts w:ascii="仿宋" w:hAnsi="仿宋" w:eastAsia="仿宋"/>
              <w:sz w:val="32"/>
              <w:szCs w:val="32"/>
              <w:u w:val="none"/>
            </w:rPr>
            <w:t>.</w:t>
          </w:r>
          <w:r>
            <w:fldChar w:fldCharType="begin"/>
          </w:r>
          <w:r>
            <w:instrText xml:space="preserve"> HYPERLINK \l "_Toc34141433" </w:instrText>
          </w:r>
          <w:r>
            <w:fldChar w:fldCharType="separate"/>
          </w:r>
          <w:r>
            <w:rPr>
              <w:rStyle w:val="222"/>
              <w:rFonts w:hint="eastAsia" w:ascii="仿宋" w:hAnsi="仿宋" w:eastAsia="仿宋" w:cs="Times New Roman"/>
              <w:kern w:val="0"/>
              <w:sz w:val="32"/>
              <w:szCs w:val="32"/>
            </w:rPr>
            <w:t>黑龙江省财政厅</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国家税务总局黑龙江省税务局关于公布</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年度第二批获得公益性捐赠税前扣除资格的公益性群众团体名单的公告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_Toc34141433 \h </w:instrText>
          </w:r>
          <w:r>
            <w:rPr>
              <w:rFonts w:ascii="仿宋" w:hAnsi="仿宋" w:eastAsia="仿宋"/>
              <w:sz w:val="32"/>
              <w:szCs w:val="32"/>
            </w:rPr>
            <w:fldChar w:fldCharType="separate"/>
          </w:r>
          <w:r>
            <w:rPr>
              <w:rFonts w:ascii="仿宋" w:hAnsi="仿宋" w:eastAsia="仿宋"/>
              <w:sz w:val="32"/>
              <w:szCs w:val="32"/>
            </w:rPr>
            <w:t>77</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"_Toc34141434" </w:instrText>
          </w:r>
          <w:r>
            <w:fldChar w:fldCharType="separate"/>
          </w:r>
          <w:r>
            <w:rPr>
              <w:rStyle w:val="222"/>
              <w:rFonts w:hint="eastAsia" w:ascii="仿宋" w:hAnsi="仿宋" w:eastAsia="仿宋" w:cs="Times New Roman"/>
              <w:kern w:val="0"/>
              <w:sz w:val="32"/>
              <w:szCs w:val="32"/>
            </w:rPr>
            <w:t>国家税务总局黑龙江省税务局共克时艰</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战胜疫情</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致纳税人的一封信</w:t>
          </w:r>
          <w:r>
            <w:rPr>
              <w:rStyle w:val="222"/>
              <w:rFonts w:ascii="仿宋" w:hAnsi="仿宋" w:eastAsia="仿宋" w:cs="Times New Roman"/>
              <w:kern w:val="0"/>
              <w:sz w:val="32"/>
              <w:szCs w:val="32"/>
            </w:rPr>
            <w:t xml:space="preserve"> ——2019</w:t>
          </w:r>
          <w:r>
            <w:rPr>
              <w:rStyle w:val="222"/>
              <w:rFonts w:hint="eastAsia" w:ascii="仿宋" w:hAnsi="仿宋" w:eastAsia="仿宋" w:cs="Times New Roman"/>
              <w:kern w:val="0"/>
              <w:sz w:val="32"/>
              <w:szCs w:val="32"/>
            </w:rPr>
            <w:t>年度黑龙江省企业所得税汇算清缴事项温馨提示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_Toc34141434 \h </w:instrText>
          </w:r>
          <w:r>
            <w:rPr>
              <w:rFonts w:ascii="仿宋" w:hAnsi="仿宋" w:eastAsia="仿宋"/>
              <w:sz w:val="32"/>
              <w:szCs w:val="32"/>
            </w:rPr>
            <w:fldChar w:fldCharType="separate"/>
          </w:r>
          <w:r>
            <w:rPr>
              <w:rFonts w:ascii="仿宋" w:hAnsi="仿宋" w:eastAsia="仿宋"/>
              <w:sz w:val="32"/>
              <w:szCs w:val="32"/>
            </w:rPr>
            <w:t>80</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"_Toc34141435" </w:instrText>
          </w:r>
          <w:r>
            <w:fldChar w:fldCharType="separate"/>
          </w:r>
          <w:r>
            <w:rPr>
              <w:rStyle w:val="222"/>
              <w:rFonts w:hint="eastAsia" w:ascii="仿宋" w:hAnsi="仿宋" w:eastAsia="仿宋"/>
              <w:sz w:val="32"/>
              <w:szCs w:val="32"/>
            </w:rPr>
            <w:t>（九）上海市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_Toc34141435 \h </w:instrText>
          </w:r>
          <w:r>
            <w:rPr>
              <w:rFonts w:ascii="仿宋" w:hAnsi="仿宋" w:eastAsia="仿宋"/>
              <w:sz w:val="32"/>
              <w:szCs w:val="32"/>
            </w:rPr>
            <w:fldChar w:fldCharType="separate"/>
          </w:r>
          <w:r>
            <w:rPr>
              <w:rFonts w:ascii="仿宋" w:hAnsi="仿宋" w:eastAsia="仿宋"/>
              <w:sz w:val="32"/>
              <w:szCs w:val="32"/>
            </w:rPr>
            <w:t>86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"_Toc34141436" </w:instrText>
          </w:r>
          <w:r>
            <w:fldChar w:fldCharType="separate"/>
          </w:r>
          <w:r>
            <w:rPr>
              <w:rStyle w:val="222"/>
              <w:rFonts w:hint="eastAsia" w:ascii="仿宋" w:hAnsi="仿宋" w:eastAsia="仿宋"/>
              <w:sz w:val="32"/>
              <w:szCs w:val="32"/>
            </w:rPr>
            <w:t>国家税务总局上海市税务局全力防控疫情支持服务企业平稳健康发展税收政策措施操作细则（三）</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_Toc34141436 \h </w:instrText>
          </w:r>
          <w:r>
            <w:rPr>
              <w:rFonts w:ascii="仿宋" w:hAnsi="仿宋" w:eastAsia="仿宋"/>
              <w:sz w:val="32"/>
              <w:szCs w:val="32"/>
            </w:rPr>
            <w:fldChar w:fldCharType="separate"/>
          </w:r>
          <w:r>
            <w:rPr>
              <w:rFonts w:ascii="仿宋" w:hAnsi="仿宋" w:eastAsia="仿宋"/>
              <w:sz w:val="32"/>
              <w:szCs w:val="32"/>
            </w:rPr>
            <w:t>86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"_Toc34141437" </w:instrText>
          </w:r>
          <w:r>
            <w:fldChar w:fldCharType="separate"/>
          </w:r>
          <w:r>
            <w:rPr>
              <w:rStyle w:val="222"/>
              <w:rFonts w:hint="eastAsia" w:ascii="仿宋" w:hAnsi="仿宋" w:eastAsia="仿宋"/>
              <w:sz w:val="32"/>
              <w:szCs w:val="32"/>
            </w:rPr>
            <w:t>国家税务总局上海市税务局全程网上办清单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_Toc34141437 \h </w:instrText>
          </w:r>
          <w:r>
            <w:rPr>
              <w:rFonts w:ascii="仿宋" w:hAnsi="仿宋" w:eastAsia="仿宋"/>
              <w:sz w:val="32"/>
              <w:szCs w:val="32"/>
            </w:rPr>
            <w:fldChar w:fldCharType="separate"/>
          </w:r>
          <w:r>
            <w:rPr>
              <w:rFonts w:ascii="仿宋" w:hAnsi="仿宋" w:eastAsia="仿宋"/>
              <w:sz w:val="32"/>
              <w:szCs w:val="32"/>
            </w:rPr>
            <w:t>91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"_Toc34141438" </w:instrText>
          </w:r>
          <w:r>
            <w:fldChar w:fldCharType="separate"/>
          </w:r>
          <w:r>
            <w:rPr>
              <w:rStyle w:val="222"/>
              <w:rFonts w:hint="eastAsia" w:ascii="仿宋" w:hAnsi="仿宋" w:eastAsia="仿宋"/>
              <w:sz w:val="32"/>
              <w:szCs w:val="32"/>
            </w:rPr>
            <w:t>国家税务总局上海市税务局关于疫情防控期间行政复议有关工作安排的通告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_Toc34141438 \h </w:instrText>
          </w:r>
          <w:r>
            <w:rPr>
              <w:rFonts w:ascii="仿宋" w:hAnsi="仿宋" w:eastAsia="仿宋"/>
              <w:sz w:val="32"/>
              <w:szCs w:val="32"/>
            </w:rPr>
            <w:fldChar w:fldCharType="separate"/>
          </w:r>
          <w:r>
            <w:rPr>
              <w:rFonts w:ascii="仿宋" w:hAnsi="仿宋" w:eastAsia="仿宋"/>
              <w:sz w:val="32"/>
              <w:szCs w:val="32"/>
            </w:rPr>
            <w:t>93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"_Toc34141439" </w:instrText>
          </w:r>
          <w:r>
            <w:fldChar w:fldCharType="separate"/>
          </w:r>
          <w:r>
            <w:rPr>
              <w:rStyle w:val="222"/>
              <w:rFonts w:hint="eastAsia" w:ascii="仿宋" w:hAnsi="仿宋" w:eastAsia="仿宋"/>
              <w:sz w:val="32"/>
              <w:szCs w:val="32"/>
            </w:rPr>
            <w:t>国家税务总局上海市税务局关于企业自建和第三方电子发票服务平台接入验证工作的公告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_Toc34141439 \h </w:instrText>
          </w:r>
          <w:r>
            <w:rPr>
              <w:rFonts w:ascii="仿宋" w:hAnsi="仿宋" w:eastAsia="仿宋"/>
              <w:sz w:val="32"/>
              <w:szCs w:val="32"/>
            </w:rPr>
            <w:fldChar w:fldCharType="separate"/>
          </w:r>
          <w:r>
            <w:rPr>
              <w:rFonts w:ascii="仿宋" w:hAnsi="仿宋" w:eastAsia="仿宋"/>
              <w:sz w:val="32"/>
              <w:szCs w:val="32"/>
            </w:rPr>
            <w:t>95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"_Toc34141440" </w:instrText>
          </w:r>
          <w:r>
            <w:fldChar w:fldCharType="separate"/>
          </w:r>
          <w:r>
            <w:rPr>
              <w:rStyle w:val="222"/>
              <w:rFonts w:hint="eastAsia" w:ascii="仿宋" w:hAnsi="仿宋" w:eastAsia="仿宋"/>
              <w:sz w:val="32"/>
              <w:szCs w:val="32"/>
            </w:rPr>
            <w:t>（十）江苏省（无更新）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_Toc34141440 \h </w:instrText>
          </w:r>
          <w:r>
            <w:rPr>
              <w:rFonts w:ascii="仿宋" w:hAnsi="仿宋" w:eastAsia="仿宋"/>
              <w:sz w:val="32"/>
              <w:szCs w:val="32"/>
            </w:rPr>
            <w:fldChar w:fldCharType="separate"/>
          </w:r>
          <w:r>
            <w:rPr>
              <w:rFonts w:ascii="仿宋" w:hAnsi="仿宋" w:eastAsia="仿宋"/>
              <w:sz w:val="32"/>
              <w:szCs w:val="32"/>
            </w:rPr>
            <w:t>99</w:t>
          </w:r>
          <w:r>
            <w:rPr>
              <w:rFonts w:ascii="仿宋" w:hAnsi="仿宋" w:eastAsia="仿宋"/>
              <w:sz w:val="32"/>
              <w:szCs w:val="32"/>
            </w:rPr>
            <w:fldChar w:fldCharType="end"/>
          </w:r>
          <w:r>
            <w:rPr>
              <w:rFonts w:ascii="仿宋" w:hAnsi="仿宋" w:eastAsia="仿宋"/>
              <w:sz w:val="32"/>
              <w:szCs w:val="32"/>
            </w:rPr>
            <w:fldChar w:fldCharType="end"/>
          </w:r>
          <w:r>
            <w:fldChar w:fldCharType="begin"/>
          </w:r>
          <w:r>
            <w:instrText xml:space="preserve"> HYPERLINK \l "_Toc34141441" </w:instrText>
          </w:r>
          <w:r>
            <w:fldChar w:fldCharType="separate"/>
          </w:r>
          <w:r>
            <w:rPr>
              <w:rStyle w:val="222"/>
            </w:rPr>
            <w:t>_Toc34141441</w:t>
          </w:r>
          <w:r>
            <w:rPr>
              <w:rStyle w:val="22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"_Toc34141442" </w:instrText>
          </w:r>
          <w:r>
            <w:fldChar w:fldCharType="separate"/>
          </w:r>
          <w:r>
            <w:rPr>
              <w:rStyle w:val="222"/>
              <w:rFonts w:hint="eastAsia" w:ascii="仿宋" w:hAnsi="仿宋" w:eastAsia="仿宋"/>
              <w:sz w:val="32"/>
              <w:szCs w:val="32"/>
            </w:rPr>
            <w:t>（十一）浙江省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_Toc34141442 \h </w:instrText>
          </w:r>
          <w:r>
            <w:rPr>
              <w:rFonts w:ascii="仿宋" w:hAnsi="仿宋" w:eastAsia="仿宋"/>
              <w:sz w:val="32"/>
              <w:szCs w:val="32"/>
            </w:rPr>
            <w:fldChar w:fldCharType="separate"/>
          </w:r>
          <w:r>
            <w:rPr>
              <w:rFonts w:ascii="仿宋" w:hAnsi="仿宋" w:eastAsia="仿宋"/>
              <w:sz w:val="32"/>
              <w:szCs w:val="32"/>
            </w:rPr>
            <w:t>100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"_Toc34141443" </w:instrText>
          </w:r>
          <w:r>
            <w:fldChar w:fldCharType="separate"/>
          </w:r>
          <w:r>
            <w:rPr>
              <w:rStyle w:val="222"/>
              <w:rFonts w:hint="eastAsia" w:ascii="仿宋" w:hAnsi="仿宋" w:eastAsia="仿宋" w:cs="Times New Roman"/>
              <w:kern w:val="0"/>
              <w:sz w:val="32"/>
              <w:szCs w:val="32"/>
            </w:rPr>
            <w:t>国家税务总局宁波市税务局关于企业自建和第三方电子发票服务平台接入验证工作的公告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_Toc34141443 \h </w:instrText>
          </w:r>
          <w:r>
            <w:rPr>
              <w:rFonts w:ascii="仿宋" w:hAnsi="仿宋" w:eastAsia="仿宋"/>
              <w:sz w:val="32"/>
              <w:szCs w:val="32"/>
            </w:rPr>
            <w:fldChar w:fldCharType="separate"/>
          </w:r>
          <w:r>
            <w:rPr>
              <w:rFonts w:ascii="仿宋" w:hAnsi="仿宋" w:eastAsia="仿宋"/>
              <w:sz w:val="32"/>
              <w:szCs w:val="32"/>
            </w:rPr>
            <w:t>100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"_Toc34141444" </w:instrText>
          </w:r>
          <w:r>
            <w:fldChar w:fldCharType="separate"/>
          </w:r>
          <w:r>
            <w:rPr>
              <w:rStyle w:val="222"/>
              <w:rFonts w:hint="eastAsia" w:ascii="仿宋" w:hAnsi="仿宋" w:eastAsia="仿宋" w:cs="Times New Roman"/>
              <w:kern w:val="0"/>
              <w:sz w:val="32"/>
              <w:szCs w:val="32"/>
            </w:rPr>
            <w:t>国家税务总局宁波市税务局关于明确延长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_Toc34141444 \h </w:instrText>
          </w:r>
          <w:r>
            <w:rPr>
              <w:rFonts w:ascii="仿宋" w:hAnsi="仿宋" w:eastAsia="仿宋"/>
              <w:sz w:val="32"/>
              <w:szCs w:val="32"/>
            </w:rPr>
            <w:fldChar w:fldCharType="separate"/>
          </w:r>
          <w:r>
            <w:rPr>
              <w:rFonts w:ascii="仿宋" w:hAnsi="仿宋" w:eastAsia="仿宋"/>
              <w:sz w:val="32"/>
              <w:szCs w:val="32"/>
            </w:rPr>
            <w:t>103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"_Toc34141445" </w:instrText>
          </w:r>
          <w:r>
            <w:fldChar w:fldCharType="separate"/>
          </w:r>
          <w:r>
            <w:rPr>
              <w:rStyle w:val="222"/>
              <w:rFonts w:hint="eastAsia" w:ascii="仿宋" w:hAnsi="仿宋" w:eastAsia="仿宋" w:cs="Times New Roman"/>
              <w:kern w:val="0"/>
              <w:sz w:val="32"/>
              <w:szCs w:val="32"/>
            </w:rPr>
            <w:t>国家税务总局宁波市税务局受疫情影响企业缓缴社保费申请办理流程指南（适用缴费企业）</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_Toc34141445 \h </w:instrText>
          </w:r>
          <w:r>
            <w:rPr>
              <w:rFonts w:ascii="仿宋" w:hAnsi="仿宋" w:eastAsia="仿宋"/>
              <w:sz w:val="32"/>
              <w:szCs w:val="32"/>
            </w:rPr>
            <w:fldChar w:fldCharType="separate"/>
          </w:r>
          <w:r>
            <w:rPr>
              <w:rFonts w:ascii="仿宋" w:hAnsi="仿宋" w:eastAsia="仿宋"/>
              <w:sz w:val="32"/>
              <w:szCs w:val="32"/>
            </w:rPr>
            <w:t>103</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"_Toc34141446" </w:instrText>
          </w:r>
          <w:r>
            <w:fldChar w:fldCharType="separate"/>
          </w:r>
          <w:r>
            <w:rPr>
              <w:rStyle w:val="222"/>
              <w:rFonts w:hint="eastAsia" w:ascii="仿宋" w:hAnsi="仿宋" w:eastAsia="仿宋"/>
              <w:sz w:val="32"/>
              <w:szCs w:val="32"/>
            </w:rPr>
            <w:t>（十二）安徽省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_Toc34141446 \h </w:instrText>
          </w:r>
          <w:r>
            <w:rPr>
              <w:rFonts w:ascii="仿宋" w:hAnsi="仿宋" w:eastAsia="仿宋"/>
              <w:sz w:val="32"/>
              <w:szCs w:val="32"/>
            </w:rPr>
            <w:fldChar w:fldCharType="separate"/>
          </w:r>
          <w:r>
            <w:rPr>
              <w:rFonts w:ascii="仿宋" w:hAnsi="仿宋" w:eastAsia="仿宋"/>
              <w:sz w:val="32"/>
              <w:szCs w:val="32"/>
            </w:rPr>
            <w:t>107</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"_Toc34141447" </w:instrText>
          </w:r>
          <w:r>
            <w:fldChar w:fldCharType="separate"/>
          </w:r>
          <w:r>
            <w:rPr>
              <w:rStyle w:val="222"/>
              <w:rFonts w:hint="eastAsia" w:ascii="仿宋" w:hAnsi="仿宋" w:eastAsia="仿宋" w:cs="Times New Roman"/>
              <w:kern w:val="0"/>
              <w:sz w:val="32"/>
              <w:szCs w:val="32"/>
            </w:rPr>
            <w:t>国家税务总局安徽省税务局关于开展企业自建和第三方电子发票服务平台接入验证工作的公告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_Toc34141447 \h </w:instrText>
          </w:r>
          <w:r>
            <w:rPr>
              <w:rFonts w:ascii="仿宋" w:hAnsi="仿宋" w:eastAsia="仿宋"/>
              <w:sz w:val="32"/>
              <w:szCs w:val="32"/>
            </w:rPr>
            <w:fldChar w:fldCharType="separate"/>
          </w:r>
          <w:r>
            <w:rPr>
              <w:rFonts w:ascii="仿宋" w:hAnsi="仿宋" w:eastAsia="仿宋"/>
              <w:sz w:val="32"/>
              <w:szCs w:val="32"/>
            </w:rPr>
            <w:t>107</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"_Toc34141448" </w:instrText>
          </w:r>
          <w:r>
            <w:fldChar w:fldCharType="separate"/>
          </w:r>
          <w:r>
            <w:rPr>
              <w:rStyle w:val="222"/>
              <w:rFonts w:hint="eastAsia" w:ascii="仿宋" w:hAnsi="仿宋" w:eastAsia="仿宋"/>
              <w:sz w:val="32"/>
              <w:szCs w:val="32"/>
            </w:rPr>
            <w:t>（十三）福建省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_Toc34141448 \h </w:instrText>
          </w:r>
          <w:r>
            <w:rPr>
              <w:rFonts w:ascii="仿宋" w:hAnsi="仿宋" w:eastAsia="仿宋"/>
              <w:sz w:val="32"/>
              <w:szCs w:val="32"/>
            </w:rPr>
            <w:fldChar w:fldCharType="separate"/>
          </w:r>
          <w:r>
            <w:rPr>
              <w:rFonts w:ascii="仿宋" w:hAnsi="仿宋" w:eastAsia="仿宋"/>
              <w:sz w:val="32"/>
              <w:szCs w:val="32"/>
            </w:rPr>
            <w:t>110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"_Toc34141449" </w:instrText>
          </w:r>
          <w:r>
            <w:fldChar w:fldCharType="separate"/>
          </w:r>
          <w:r>
            <w:rPr>
              <w:rStyle w:val="222"/>
              <w:rFonts w:hint="eastAsia" w:ascii="仿宋" w:hAnsi="仿宋" w:eastAsia="仿宋" w:cs="Times New Roman"/>
              <w:kern w:val="0"/>
              <w:sz w:val="32"/>
              <w:szCs w:val="32"/>
            </w:rPr>
            <w:t>国家税务总局福建省税务局关于电子发票服务平台接入验证工作的公告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_Toc34141449 \h </w:instrText>
          </w:r>
          <w:r>
            <w:rPr>
              <w:rFonts w:ascii="仿宋" w:hAnsi="仿宋" w:eastAsia="仿宋"/>
              <w:sz w:val="32"/>
              <w:szCs w:val="32"/>
            </w:rPr>
            <w:fldChar w:fldCharType="separate"/>
          </w:r>
          <w:r>
            <w:rPr>
              <w:rFonts w:ascii="仿宋" w:hAnsi="仿宋" w:eastAsia="仿宋"/>
              <w:sz w:val="32"/>
              <w:szCs w:val="32"/>
            </w:rPr>
            <w:t>110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"_Toc34141450" </w:instrText>
          </w:r>
          <w:r>
            <w:fldChar w:fldCharType="separate"/>
          </w:r>
          <w:r>
            <w:rPr>
              <w:rStyle w:val="222"/>
              <w:rFonts w:hint="eastAsia" w:ascii="仿宋" w:hAnsi="仿宋" w:eastAsia="仿宋" w:cs="Times New Roman"/>
              <w:kern w:val="0"/>
              <w:sz w:val="32"/>
              <w:szCs w:val="32"/>
            </w:rPr>
            <w:t>国家税务总局福建省税务局关于纳税人增值税发票开票软件报税清卡操作调整的通知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_Toc34141450 \h </w:instrText>
          </w:r>
          <w:r>
            <w:rPr>
              <w:rFonts w:ascii="仿宋" w:hAnsi="仿宋" w:eastAsia="仿宋"/>
              <w:sz w:val="32"/>
              <w:szCs w:val="32"/>
            </w:rPr>
            <w:fldChar w:fldCharType="separate"/>
          </w:r>
          <w:r>
            <w:rPr>
              <w:rFonts w:ascii="仿宋" w:hAnsi="仿宋" w:eastAsia="仿宋"/>
              <w:sz w:val="32"/>
              <w:szCs w:val="32"/>
            </w:rPr>
            <w:t>113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"_Toc34141451" </w:instrText>
          </w:r>
          <w:r>
            <w:fldChar w:fldCharType="separate"/>
          </w:r>
          <w:r>
            <w:rPr>
              <w:rStyle w:val="222"/>
              <w:rFonts w:hint="eastAsia" w:ascii="仿宋" w:hAnsi="仿宋" w:eastAsia="仿宋" w:cs="Times New Roman"/>
              <w:kern w:val="0"/>
              <w:sz w:val="32"/>
              <w:szCs w:val="32"/>
            </w:rPr>
            <w:t>国家税务总局福建省税务局关于进一步延长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_Toc34141451 \h </w:instrText>
          </w:r>
          <w:r>
            <w:rPr>
              <w:rFonts w:ascii="仿宋" w:hAnsi="仿宋" w:eastAsia="仿宋"/>
              <w:sz w:val="32"/>
              <w:szCs w:val="32"/>
            </w:rPr>
            <w:fldChar w:fldCharType="separate"/>
          </w:r>
          <w:r>
            <w:rPr>
              <w:rFonts w:ascii="仿宋" w:hAnsi="仿宋" w:eastAsia="仿宋"/>
              <w:sz w:val="32"/>
              <w:szCs w:val="32"/>
            </w:rPr>
            <w:t>117</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"_Toc34141452" </w:instrText>
          </w:r>
          <w:r>
            <w:fldChar w:fldCharType="separate"/>
          </w:r>
          <w:r>
            <w:rPr>
              <w:rStyle w:val="222"/>
              <w:rFonts w:hint="eastAsia" w:ascii="仿宋" w:hAnsi="仿宋" w:eastAsia="仿宋" w:cs="Times New Roman"/>
              <w:kern w:val="0"/>
              <w:sz w:val="32"/>
              <w:szCs w:val="32"/>
            </w:rPr>
            <w:t>国家税务总局福建省税务局“非接触式”网上办税清单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_Toc34141452 \h </w:instrText>
          </w:r>
          <w:r>
            <w:rPr>
              <w:rFonts w:ascii="仿宋" w:hAnsi="仿宋" w:eastAsia="仿宋"/>
              <w:sz w:val="32"/>
              <w:szCs w:val="32"/>
            </w:rPr>
            <w:fldChar w:fldCharType="separate"/>
          </w:r>
          <w:r>
            <w:rPr>
              <w:rFonts w:ascii="仿宋" w:hAnsi="仿宋" w:eastAsia="仿宋"/>
              <w:sz w:val="32"/>
              <w:szCs w:val="32"/>
            </w:rPr>
            <w:t>118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5.</w:t>
          </w:r>
          <w:r>
            <w:fldChar w:fldCharType="begin"/>
          </w:r>
          <w:r>
            <w:instrText xml:space="preserve"> HYPERLINK \l "_Toc34141453" </w:instrText>
          </w:r>
          <w:r>
            <w:fldChar w:fldCharType="separate"/>
          </w:r>
          <w:r>
            <w:rPr>
              <w:rStyle w:val="222"/>
              <w:rFonts w:hint="eastAsia" w:ascii="仿宋" w:hAnsi="仿宋" w:eastAsia="仿宋" w:cs="Times New Roman"/>
              <w:kern w:val="0"/>
              <w:sz w:val="32"/>
              <w:szCs w:val="32"/>
            </w:rPr>
            <w:t>国家税务总局福建省税务局关于受理个人所得税综合所得汇算清缴纳税人邮寄申报的通知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_Toc34141453 \h </w:instrText>
          </w:r>
          <w:r>
            <w:rPr>
              <w:rFonts w:ascii="仿宋" w:hAnsi="仿宋" w:eastAsia="仿宋"/>
              <w:sz w:val="32"/>
              <w:szCs w:val="32"/>
            </w:rPr>
            <w:fldChar w:fldCharType="separate"/>
          </w:r>
          <w:r>
            <w:rPr>
              <w:rFonts w:ascii="仿宋" w:hAnsi="仿宋" w:eastAsia="仿宋"/>
              <w:sz w:val="32"/>
              <w:szCs w:val="32"/>
            </w:rPr>
            <w:t>130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6.</w:t>
          </w:r>
          <w:r>
            <w:fldChar w:fldCharType="begin"/>
          </w:r>
          <w:r>
            <w:instrText xml:space="preserve"> HYPERLINK \l "_Toc34141454" </w:instrText>
          </w:r>
          <w:r>
            <w:fldChar w:fldCharType="separate"/>
          </w:r>
          <w:r>
            <w:rPr>
              <w:rStyle w:val="222"/>
              <w:rFonts w:hint="eastAsia" w:ascii="仿宋" w:hAnsi="仿宋" w:eastAsia="仿宋" w:cs="Times New Roman"/>
              <w:kern w:val="0"/>
              <w:sz w:val="32"/>
              <w:szCs w:val="32"/>
            </w:rPr>
            <w:t>国家税务总局厦门市税务局关于进一步延长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_Toc34141454 \h </w:instrText>
          </w:r>
          <w:r>
            <w:rPr>
              <w:rFonts w:ascii="仿宋" w:hAnsi="仿宋" w:eastAsia="仿宋"/>
              <w:sz w:val="32"/>
              <w:szCs w:val="32"/>
            </w:rPr>
            <w:fldChar w:fldCharType="separate"/>
          </w:r>
          <w:r>
            <w:rPr>
              <w:rFonts w:ascii="仿宋" w:hAnsi="仿宋" w:eastAsia="仿宋"/>
              <w:sz w:val="32"/>
              <w:szCs w:val="32"/>
            </w:rPr>
            <w:t>131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7.</w:t>
          </w:r>
          <w:r>
            <w:fldChar w:fldCharType="begin"/>
          </w:r>
          <w:r>
            <w:instrText xml:space="preserve"> HYPERLINK \l "_Toc34141455" </w:instrText>
          </w:r>
          <w:r>
            <w:fldChar w:fldCharType="separate"/>
          </w:r>
          <w:r>
            <w:rPr>
              <w:rStyle w:val="222"/>
              <w:rFonts w:hint="eastAsia" w:ascii="仿宋" w:hAnsi="仿宋" w:eastAsia="仿宋" w:cs="Times New Roman"/>
              <w:kern w:val="0"/>
              <w:sz w:val="32"/>
              <w:szCs w:val="32"/>
            </w:rPr>
            <w:t>国家税务总局厦门市税务局关于暂免办理个体工商户分月汇总申报的通知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_Toc34141455 \h </w:instrText>
          </w:r>
          <w:r>
            <w:rPr>
              <w:rFonts w:ascii="仿宋" w:hAnsi="仿宋" w:eastAsia="仿宋"/>
              <w:sz w:val="32"/>
              <w:szCs w:val="32"/>
            </w:rPr>
            <w:fldChar w:fldCharType="separate"/>
          </w:r>
          <w:r>
            <w:rPr>
              <w:rFonts w:ascii="仿宋" w:hAnsi="仿宋" w:eastAsia="仿宋"/>
              <w:sz w:val="32"/>
              <w:szCs w:val="32"/>
            </w:rPr>
            <w:t>132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8.</w:t>
          </w:r>
          <w:r>
            <w:fldChar w:fldCharType="begin"/>
          </w:r>
          <w:r>
            <w:instrText xml:space="preserve"> HYPERLINK \l "_Toc34141456" </w:instrText>
          </w:r>
          <w:r>
            <w:fldChar w:fldCharType="separate"/>
          </w:r>
          <w:r>
            <w:rPr>
              <w:rStyle w:val="222"/>
              <w:rFonts w:hint="eastAsia" w:ascii="仿宋" w:hAnsi="仿宋" w:eastAsia="仿宋" w:cs="Times New Roman"/>
              <w:kern w:val="0"/>
              <w:sz w:val="32"/>
              <w:szCs w:val="32"/>
            </w:rPr>
            <w:t>国家税务总局厦门市税务局关于厦门市电子税务局上线出口退税备案功能的通知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_Toc34141456 \h </w:instrText>
          </w:r>
          <w:r>
            <w:rPr>
              <w:rFonts w:ascii="仿宋" w:hAnsi="仿宋" w:eastAsia="仿宋"/>
              <w:sz w:val="32"/>
              <w:szCs w:val="32"/>
            </w:rPr>
            <w:fldChar w:fldCharType="separate"/>
          </w:r>
          <w:r>
            <w:rPr>
              <w:rFonts w:ascii="仿宋" w:hAnsi="仿宋" w:eastAsia="仿宋"/>
              <w:sz w:val="32"/>
              <w:szCs w:val="32"/>
            </w:rPr>
            <w:t>132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9.</w:t>
          </w:r>
          <w:r>
            <w:fldChar w:fldCharType="begin"/>
          </w:r>
          <w:r>
            <w:instrText xml:space="preserve"> HYPERLINK \l "_Toc34141457" </w:instrText>
          </w:r>
          <w:r>
            <w:fldChar w:fldCharType="separate"/>
          </w:r>
          <w:r>
            <w:rPr>
              <w:rStyle w:val="222"/>
              <w:rFonts w:hint="eastAsia" w:ascii="仿宋" w:hAnsi="仿宋" w:eastAsia="仿宋" w:cs="Times New Roman"/>
              <w:kern w:val="0"/>
              <w:sz w:val="32"/>
              <w:szCs w:val="32"/>
            </w:rPr>
            <w:t>国家税务总局厦门市税务局关于暂不缴纳社保费的温馨提醒</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_Toc34141457 \h </w:instrText>
          </w:r>
          <w:r>
            <w:rPr>
              <w:rFonts w:ascii="仿宋" w:hAnsi="仿宋" w:eastAsia="仿宋"/>
              <w:sz w:val="32"/>
              <w:szCs w:val="32"/>
            </w:rPr>
            <w:fldChar w:fldCharType="separate"/>
          </w:r>
          <w:r>
            <w:rPr>
              <w:rFonts w:ascii="仿宋" w:hAnsi="仿宋" w:eastAsia="仿宋"/>
              <w:sz w:val="32"/>
              <w:szCs w:val="32"/>
            </w:rPr>
            <w:t>133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10.</w:t>
          </w:r>
          <w:r>
            <w:fldChar w:fldCharType="begin"/>
          </w:r>
          <w:r>
            <w:instrText xml:space="preserve"> HYPERLINK \l "_Toc34141458" </w:instrText>
          </w:r>
          <w:r>
            <w:fldChar w:fldCharType="separate"/>
          </w:r>
          <w:r>
            <w:rPr>
              <w:rStyle w:val="222"/>
              <w:rFonts w:hint="eastAsia" w:ascii="仿宋" w:hAnsi="仿宋" w:eastAsia="仿宋" w:cs="Times New Roman"/>
              <w:kern w:val="0"/>
              <w:sz w:val="32"/>
              <w:szCs w:val="32"/>
            </w:rPr>
            <w:t>国家税务总局厦门市税务局关于公布应对新冠肺炎疫情扶持企业发展税收优惠政策办税指南的通知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_Toc34141458 \h </w:instrText>
          </w:r>
          <w:r>
            <w:rPr>
              <w:rFonts w:ascii="仿宋" w:hAnsi="仿宋" w:eastAsia="仿宋"/>
              <w:sz w:val="32"/>
              <w:szCs w:val="32"/>
            </w:rPr>
            <w:fldChar w:fldCharType="separate"/>
          </w:r>
          <w:r>
            <w:rPr>
              <w:rFonts w:ascii="仿宋" w:hAnsi="仿宋" w:eastAsia="仿宋"/>
              <w:sz w:val="32"/>
              <w:szCs w:val="32"/>
            </w:rPr>
            <w:t>134</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"_Toc34141459" </w:instrText>
          </w:r>
          <w:r>
            <w:fldChar w:fldCharType="separate"/>
          </w:r>
          <w:r>
            <w:rPr>
              <w:rStyle w:val="222"/>
              <w:rFonts w:hint="eastAsia" w:ascii="仿宋" w:hAnsi="仿宋" w:eastAsia="仿宋"/>
              <w:sz w:val="32"/>
              <w:szCs w:val="32"/>
            </w:rPr>
            <w:t>（十四）江西省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_Toc34141459 \h </w:instrText>
          </w:r>
          <w:r>
            <w:rPr>
              <w:rFonts w:ascii="仿宋" w:hAnsi="仿宋" w:eastAsia="仿宋"/>
              <w:sz w:val="32"/>
              <w:szCs w:val="32"/>
            </w:rPr>
            <w:fldChar w:fldCharType="separate"/>
          </w:r>
          <w:r>
            <w:rPr>
              <w:rFonts w:ascii="仿宋" w:hAnsi="仿宋" w:eastAsia="仿宋"/>
              <w:sz w:val="32"/>
              <w:szCs w:val="32"/>
            </w:rPr>
            <w:t>135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s="Times New Roman"/>
              <w:color w:val="auto"/>
              <w:kern w:val="0"/>
              <w:sz w:val="32"/>
              <w:szCs w:val="32"/>
              <w:u w:val="none"/>
            </w:rPr>
            <w:t>1.</w:t>
          </w:r>
          <w:r>
            <w:fldChar w:fldCharType="begin"/>
          </w:r>
          <w:r>
            <w:instrText xml:space="preserve"> HYPERLINK \l "_Toc34141460" </w:instrText>
          </w:r>
          <w:r>
            <w:fldChar w:fldCharType="separate"/>
          </w:r>
          <w:r>
            <w:rPr>
              <w:rStyle w:val="222"/>
              <w:rFonts w:hint="eastAsia" w:ascii="仿宋" w:hAnsi="仿宋" w:eastAsia="仿宋" w:cs="Times New Roman"/>
              <w:kern w:val="0"/>
              <w:sz w:val="32"/>
              <w:szCs w:val="32"/>
            </w:rPr>
            <w:t>国家税务总局江西省税务局关于进一步推动房地产及建2.筑业平稳健康发展的公告</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（国家税务总局江西省税务局公告</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年第</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_Toc34141460 \h </w:instrText>
          </w:r>
          <w:r>
            <w:rPr>
              <w:rFonts w:ascii="仿宋" w:hAnsi="仿宋" w:eastAsia="仿宋"/>
              <w:sz w:val="32"/>
              <w:szCs w:val="32"/>
            </w:rPr>
            <w:fldChar w:fldCharType="separate"/>
          </w:r>
          <w:r>
            <w:rPr>
              <w:rFonts w:ascii="仿宋" w:hAnsi="仿宋" w:eastAsia="仿宋"/>
              <w:sz w:val="32"/>
              <w:szCs w:val="32"/>
            </w:rPr>
            <w:t>135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"_Toc34141461" </w:instrText>
          </w:r>
          <w:r>
            <w:fldChar w:fldCharType="separate"/>
          </w:r>
          <w:r>
            <w:rPr>
              <w:rStyle w:val="222"/>
              <w:rFonts w:hint="eastAsia" w:ascii="仿宋" w:hAnsi="仿宋" w:eastAsia="仿宋"/>
              <w:sz w:val="32"/>
              <w:szCs w:val="32"/>
            </w:rPr>
            <w:t>（十五）山东省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_Toc34141461 \h </w:instrText>
          </w:r>
          <w:r>
            <w:rPr>
              <w:rFonts w:ascii="仿宋" w:hAnsi="仿宋" w:eastAsia="仿宋"/>
              <w:sz w:val="32"/>
              <w:szCs w:val="32"/>
            </w:rPr>
            <w:fldChar w:fldCharType="separate"/>
          </w:r>
          <w:r>
            <w:rPr>
              <w:rFonts w:ascii="仿宋" w:hAnsi="仿宋" w:eastAsia="仿宋"/>
              <w:sz w:val="32"/>
              <w:szCs w:val="32"/>
            </w:rPr>
            <w:t>139</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"_Toc34141462" </w:instrText>
          </w:r>
          <w:r>
            <w:fldChar w:fldCharType="separate"/>
          </w:r>
          <w:r>
            <w:rPr>
              <w:rStyle w:val="222"/>
              <w:rFonts w:hint="eastAsia" w:ascii="仿宋" w:hAnsi="仿宋" w:eastAsia="仿宋" w:cs="Times New Roman"/>
              <w:kern w:val="0"/>
              <w:sz w:val="32"/>
              <w:szCs w:val="32"/>
            </w:rPr>
            <w:t>国家税务总局山东省税务局大企业税费优惠政策汇编特刊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_Toc34141462 \h </w:instrText>
          </w:r>
          <w:r>
            <w:rPr>
              <w:rFonts w:ascii="仿宋" w:hAnsi="仿宋" w:eastAsia="仿宋"/>
              <w:sz w:val="32"/>
              <w:szCs w:val="32"/>
            </w:rPr>
            <w:fldChar w:fldCharType="separate"/>
          </w:r>
          <w:r>
            <w:rPr>
              <w:rFonts w:ascii="仿宋" w:hAnsi="仿宋" w:eastAsia="仿宋"/>
              <w:sz w:val="32"/>
              <w:szCs w:val="32"/>
            </w:rPr>
            <w:t>139</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"_Toc34141463" </w:instrText>
          </w:r>
          <w:r>
            <w:fldChar w:fldCharType="separate"/>
          </w:r>
          <w:r>
            <w:rPr>
              <w:rStyle w:val="222"/>
              <w:rFonts w:hint="eastAsia" w:ascii="仿宋" w:hAnsi="仿宋" w:eastAsia="仿宋" w:cs="Times New Roman"/>
              <w:kern w:val="0"/>
              <w:sz w:val="32"/>
              <w:szCs w:val="32"/>
            </w:rPr>
            <w:t>国家税务总局山东省税务局关于积极发挥税收职能作用支持新冠肺炎疫情防控工作的通知</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（鲁税发〔</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8</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_Toc34141463 \h </w:instrText>
          </w:r>
          <w:r>
            <w:rPr>
              <w:rFonts w:ascii="仿宋" w:hAnsi="仿宋" w:eastAsia="仿宋"/>
              <w:sz w:val="32"/>
              <w:szCs w:val="32"/>
            </w:rPr>
            <w:fldChar w:fldCharType="separate"/>
          </w:r>
          <w:r>
            <w:rPr>
              <w:rFonts w:ascii="仿宋" w:hAnsi="仿宋" w:eastAsia="仿宋"/>
              <w:sz w:val="32"/>
              <w:szCs w:val="32"/>
            </w:rPr>
            <w:t>139</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"_Toc34141464" </w:instrText>
          </w:r>
          <w:r>
            <w:fldChar w:fldCharType="separate"/>
          </w:r>
          <w:r>
            <w:rPr>
              <w:rStyle w:val="222"/>
              <w:rFonts w:hint="eastAsia" w:ascii="仿宋" w:hAnsi="仿宋" w:eastAsia="仿宋" w:cs="Times New Roman"/>
              <w:kern w:val="0"/>
              <w:sz w:val="32"/>
              <w:szCs w:val="32"/>
            </w:rPr>
            <w:t>国家税务总局山东省税务局关于电子发票服务平台接入验证工作的公告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_Toc34141464 \h </w:instrText>
          </w:r>
          <w:r>
            <w:rPr>
              <w:rFonts w:ascii="仿宋" w:hAnsi="仿宋" w:eastAsia="仿宋"/>
              <w:sz w:val="32"/>
              <w:szCs w:val="32"/>
            </w:rPr>
            <w:fldChar w:fldCharType="separate"/>
          </w:r>
          <w:r>
            <w:rPr>
              <w:rFonts w:ascii="仿宋" w:hAnsi="仿宋" w:eastAsia="仿宋"/>
              <w:sz w:val="32"/>
              <w:szCs w:val="32"/>
            </w:rPr>
            <w:t>149</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"_Toc34141465" </w:instrText>
          </w:r>
          <w:r>
            <w:fldChar w:fldCharType="separate"/>
          </w:r>
          <w:r>
            <w:rPr>
              <w:rStyle w:val="222"/>
              <w:rFonts w:hint="eastAsia" w:ascii="仿宋" w:hAnsi="仿宋" w:eastAsia="仿宋" w:cs="Times New Roman"/>
              <w:kern w:val="0"/>
              <w:sz w:val="32"/>
              <w:szCs w:val="32"/>
            </w:rPr>
            <w:t>国家税务总局青岛市税务局关于电子发票服务平台接入验证工作的公告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_Toc34141465 \h </w:instrText>
          </w:r>
          <w:r>
            <w:rPr>
              <w:rFonts w:ascii="仿宋" w:hAnsi="仿宋" w:eastAsia="仿宋"/>
              <w:sz w:val="32"/>
              <w:szCs w:val="32"/>
            </w:rPr>
            <w:fldChar w:fldCharType="separate"/>
          </w:r>
          <w:r>
            <w:rPr>
              <w:rFonts w:ascii="仿宋" w:hAnsi="仿宋" w:eastAsia="仿宋"/>
              <w:sz w:val="32"/>
              <w:szCs w:val="32"/>
            </w:rPr>
            <w:t>152</w:t>
          </w:r>
          <w:r>
            <w:rPr>
              <w:rFonts w:ascii="仿宋" w:hAnsi="仿宋" w:eastAsia="仿宋"/>
              <w:sz w:val="32"/>
              <w:szCs w:val="32"/>
            </w:rPr>
            <w:fldChar w:fldCharType="end"/>
          </w:r>
          <w:r>
            <w:rPr>
              <w:rFonts w:ascii="仿宋" w:hAnsi="仿宋" w:eastAsia="仿宋"/>
              <w:sz w:val="32"/>
              <w:szCs w:val="32"/>
            </w:rPr>
            <w:fldChar w:fldCharType="end"/>
          </w:r>
        </w:p>
        <w:p>
          <w:pPr>
            <w:pStyle w:val="59"/>
            <w:tabs>
              <w:tab w:val="right" w:leader="dot" w:pos="8891"/>
            </w:tabs>
            <w:ind w:left="850" w:leftChars="405"/>
            <w:rPr>
              <w:rFonts w:ascii="仿宋" w:hAnsi="仿宋" w:eastAsia="仿宋"/>
              <w:sz w:val="32"/>
              <w:szCs w:val="32"/>
            </w:rPr>
          </w:pPr>
          <w:r>
            <w:rPr>
              <w:rStyle w:val="222"/>
              <w:rFonts w:ascii="仿宋" w:hAnsi="仿宋" w:eastAsia="仿宋"/>
              <w:color w:val="auto"/>
              <w:sz w:val="32"/>
              <w:szCs w:val="32"/>
              <w:u w:val="none"/>
            </w:rPr>
            <w:t>5.</w:t>
          </w:r>
          <w:r>
            <w:fldChar w:fldCharType="begin"/>
          </w:r>
          <w:r>
            <w:instrText xml:space="preserve"> HYPERLINK \l "_Toc34141466" </w:instrText>
          </w:r>
          <w:r>
            <w:fldChar w:fldCharType="separate"/>
          </w:r>
          <w:r>
            <w:rPr>
              <w:rStyle w:val="222"/>
              <w:rFonts w:hint="eastAsia" w:ascii="仿宋" w:hAnsi="仿宋" w:eastAsia="仿宋" w:cs="宋体"/>
              <w:bCs/>
              <w:kern w:val="36"/>
              <w:sz w:val="32"/>
              <w:szCs w:val="32"/>
            </w:rPr>
            <w:t>国家税务总局山东省税务局关于阶段性降低职工基本医疗保险缴费费率的通知</w:t>
          </w:r>
          <w:r>
            <w:rPr>
              <w:rStyle w:val="222"/>
              <w:rFonts w:hint="eastAsia" w:ascii="仿宋" w:hAnsi="仿宋" w:eastAsia="仿宋" w:cs="宋体"/>
              <w:kern w:val="0"/>
              <w:sz w:val="32"/>
              <w:szCs w:val="32"/>
            </w:rPr>
            <w:t>鲁医保发〔</w:t>
          </w:r>
          <w:r>
            <w:rPr>
              <w:rStyle w:val="222"/>
              <w:rFonts w:ascii="仿宋" w:hAnsi="仿宋" w:eastAsia="仿宋" w:cs="宋体"/>
              <w:kern w:val="0"/>
              <w:sz w:val="32"/>
              <w:szCs w:val="32"/>
            </w:rPr>
            <w:t>2020</w:t>
          </w:r>
          <w:r>
            <w:rPr>
              <w:rStyle w:val="222"/>
              <w:rFonts w:hint="eastAsia" w:ascii="仿宋" w:hAnsi="仿宋" w:eastAsia="仿宋" w:cs="宋体"/>
              <w:kern w:val="0"/>
              <w:sz w:val="32"/>
              <w:szCs w:val="32"/>
            </w:rPr>
            <w:t>〕</w:t>
          </w:r>
          <w:r>
            <w:rPr>
              <w:rStyle w:val="222"/>
              <w:rFonts w:ascii="仿宋" w:hAnsi="仿宋" w:eastAsia="仿宋" w:cs="宋体"/>
              <w:kern w:val="0"/>
              <w:sz w:val="32"/>
              <w:szCs w:val="32"/>
            </w:rPr>
            <w:t>9</w:t>
          </w:r>
          <w:r>
            <w:rPr>
              <w:rStyle w:val="222"/>
              <w:rFonts w:hint="eastAsia" w:ascii="仿宋" w:hAnsi="仿宋" w:eastAsia="仿宋" w:cs="宋体"/>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_Toc34141466 \h </w:instrText>
          </w:r>
          <w:r>
            <w:rPr>
              <w:rFonts w:ascii="仿宋" w:hAnsi="仿宋" w:eastAsia="仿宋"/>
              <w:sz w:val="32"/>
              <w:szCs w:val="32"/>
            </w:rPr>
            <w:fldChar w:fldCharType="separate"/>
          </w:r>
          <w:r>
            <w:rPr>
              <w:rFonts w:ascii="仿宋" w:hAnsi="仿宋" w:eastAsia="仿宋"/>
              <w:sz w:val="32"/>
              <w:szCs w:val="32"/>
            </w:rPr>
            <w:t>155</w:t>
          </w:r>
          <w:r>
            <w:rPr>
              <w:rFonts w:ascii="仿宋" w:hAnsi="仿宋" w:eastAsia="仿宋"/>
              <w:sz w:val="32"/>
              <w:szCs w:val="32"/>
            </w:rPr>
            <w:fldChar w:fldCharType="end"/>
          </w:r>
          <w:r>
            <w:rPr>
              <w:rFonts w:ascii="仿宋" w:hAnsi="仿宋" w:eastAsia="仿宋"/>
              <w:sz w:val="32"/>
              <w:szCs w:val="32"/>
            </w:rPr>
            <w:fldChar w:fldCharType="end"/>
          </w:r>
        </w:p>
        <w:p>
          <w:pPr>
            <w:pStyle w:val="59"/>
            <w:tabs>
              <w:tab w:val="right" w:leader="dot" w:pos="8891"/>
            </w:tabs>
            <w:ind w:left="708" w:leftChars="337"/>
            <w:rPr>
              <w:rFonts w:ascii="仿宋" w:hAnsi="仿宋" w:eastAsia="仿宋"/>
              <w:sz w:val="32"/>
              <w:szCs w:val="32"/>
            </w:rPr>
          </w:pPr>
          <w:r>
            <w:rPr>
              <w:rStyle w:val="222"/>
              <w:rFonts w:ascii="仿宋" w:hAnsi="仿宋" w:eastAsia="仿宋"/>
              <w:sz w:val="32"/>
              <w:szCs w:val="32"/>
              <w:u w:val="none"/>
            </w:rPr>
            <w:t xml:space="preserve"> </w:t>
          </w:r>
          <w:r>
            <w:rPr>
              <w:rStyle w:val="222"/>
              <w:rFonts w:ascii="仿宋" w:hAnsi="仿宋" w:eastAsia="仿宋"/>
              <w:color w:val="auto"/>
              <w:sz w:val="32"/>
              <w:szCs w:val="32"/>
              <w:u w:val="none"/>
            </w:rPr>
            <w:t>6.</w:t>
          </w:r>
          <w:r>
            <w:fldChar w:fldCharType="begin"/>
          </w:r>
          <w:r>
            <w:instrText xml:space="preserve"> HYPERLINK \l "_Toc34141467" </w:instrText>
          </w:r>
          <w:r>
            <w:fldChar w:fldCharType="separate"/>
          </w:r>
          <w:r>
            <w:rPr>
              <w:rStyle w:val="222"/>
              <w:rFonts w:hint="eastAsia" w:ascii="仿宋" w:hAnsi="仿宋" w:eastAsia="仿宋" w:cs="宋体"/>
              <w:bCs/>
              <w:kern w:val="36"/>
              <w:sz w:val="32"/>
              <w:szCs w:val="32"/>
            </w:rPr>
            <w:t>国家税务总局山东省税务局关于发布“非接触式”网上办税缴费事项清单的通告</w:t>
          </w:r>
          <w:r>
            <w:rPr>
              <w:rStyle w:val="222"/>
              <w:rFonts w:hint="eastAsia" w:ascii="仿宋" w:hAnsi="仿宋" w:eastAsia="仿宋" w:cs="宋体"/>
              <w:kern w:val="0"/>
              <w:sz w:val="32"/>
              <w:szCs w:val="32"/>
            </w:rPr>
            <w:t>国家税务总局山东省税务局通告〔</w:t>
          </w:r>
          <w:r>
            <w:rPr>
              <w:rStyle w:val="222"/>
              <w:rFonts w:ascii="仿宋" w:hAnsi="仿宋" w:eastAsia="仿宋" w:cs="宋体"/>
              <w:kern w:val="0"/>
              <w:sz w:val="32"/>
              <w:szCs w:val="32"/>
            </w:rPr>
            <w:t>2020</w:t>
          </w:r>
          <w:r>
            <w:rPr>
              <w:rStyle w:val="222"/>
              <w:rFonts w:hint="eastAsia" w:ascii="仿宋" w:hAnsi="仿宋" w:eastAsia="仿宋" w:cs="宋体"/>
              <w:kern w:val="0"/>
              <w:sz w:val="32"/>
              <w:szCs w:val="32"/>
            </w:rPr>
            <w:t>〕</w:t>
          </w:r>
          <w:r>
            <w:rPr>
              <w:rStyle w:val="222"/>
              <w:rFonts w:ascii="仿宋" w:hAnsi="仿宋" w:eastAsia="仿宋" w:cs="宋体"/>
              <w:kern w:val="0"/>
              <w:sz w:val="32"/>
              <w:szCs w:val="32"/>
            </w:rPr>
            <w:t>2</w:t>
          </w:r>
          <w:r>
            <w:rPr>
              <w:rStyle w:val="222"/>
              <w:rFonts w:hint="eastAsia" w:ascii="仿宋" w:hAnsi="仿宋" w:eastAsia="仿宋" w:cs="宋体"/>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_Toc34141467 \h </w:instrText>
          </w:r>
          <w:r>
            <w:rPr>
              <w:rFonts w:ascii="仿宋" w:hAnsi="仿宋" w:eastAsia="仿宋"/>
              <w:sz w:val="32"/>
              <w:szCs w:val="32"/>
            </w:rPr>
            <w:fldChar w:fldCharType="separate"/>
          </w:r>
          <w:r>
            <w:rPr>
              <w:rFonts w:ascii="仿宋" w:hAnsi="仿宋" w:eastAsia="仿宋"/>
              <w:sz w:val="32"/>
              <w:szCs w:val="32"/>
            </w:rPr>
            <w:t>156</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"_Toc34141468" </w:instrText>
          </w:r>
          <w:r>
            <w:fldChar w:fldCharType="separate"/>
          </w:r>
          <w:r>
            <w:rPr>
              <w:rStyle w:val="222"/>
              <w:rFonts w:hint="eastAsia" w:ascii="仿宋" w:hAnsi="仿宋" w:eastAsia="仿宋"/>
              <w:sz w:val="32"/>
              <w:szCs w:val="32"/>
            </w:rPr>
            <w:t>（十六）河南省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_Toc34141468 \h </w:instrText>
          </w:r>
          <w:r>
            <w:rPr>
              <w:rFonts w:ascii="仿宋" w:hAnsi="仿宋" w:eastAsia="仿宋"/>
              <w:sz w:val="32"/>
              <w:szCs w:val="32"/>
            </w:rPr>
            <w:fldChar w:fldCharType="separate"/>
          </w:r>
          <w:r>
            <w:rPr>
              <w:rFonts w:ascii="仿宋" w:hAnsi="仿宋" w:eastAsia="仿宋"/>
              <w:sz w:val="32"/>
              <w:szCs w:val="32"/>
            </w:rPr>
            <w:t>160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"_Toc34141469" </w:instrText>
          </w:r>
          <w:r>
            <w:fldChar w:fldCharType="separate"/>
          </w:r>
          <w:r>
            <w:rPr>
              <w:rStyle w:val="222"/>
              <w:rFonts w:hint="eastAsia" w:ascii="仿宋" w:hAnsi="仿宋" w:eastAsia="仿宋" w:cs="Times New Roman"/>
              <w:kern w:val="0"/>
              <w:sz w:val="32"/>
              <w:szCs w:val="32"/>
            </w:rPr>
            <w:t>国家税务总局河南省税务局关于发布“非接触式”网上办税清单通知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_Toc34141469 \h </w:instrText>
          </w:r>
          <w:r>
            <w:rPr>
              <w:rFonts w:ascii="仿宋" w:hAnsi="仿宋" w:eastAsia="仿宋"/>
              <w:sz w:val="32"/>
              <w:szCs w:val="32"/>
            </w:rPr>
            <w:fldChar w:fldCharType="separate"/>
          </w:r>
          <w:r>
            <w:rPr>
              <w:rFonts w:ascii="仿宋" w:hAnsi="仿宋" w:eastAsia="仿宋"/>
              <w:sz w:val="32"/>
              <w:szCs w:val="32"/>
            </w:rPr>
            <w:t>160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"_Toc34141470" </w:instrText>
          </w:r>
          <w:r>
            <w:fldChar w:fldCharType="separate"/>
          </w:r>
          <w:r>
            <w:rPr>
              <w:rStyle w:val="222"/>
              <w:rFonts w:hint="eastAsia" w:ascii="仿宋" w:hAnsi="仿宋" w:eastAsia="仿宋" w:cs="Times New Roman"/>
              <w:kern w:val="0"/>
              <w:sz w:val="32"/>
              <w:szCs w:val="32"/>
            </w:rPr>
            <w:t>国家税务总局河南省税务局关于电子发票服务平台接入验证工作的公告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_Toc34141470 \h </w:instrText>
          </w:r>
          <w:r>
            <w:rPr>
              <w:rFonts w:ascii="仿宋" w:hAnsi="仿宋" w:eastAsia="仿宋"/>
              <w:sz w:val="32"/>
              <w:szCs w:val="32"/>
            </w:rPr>
            <w:fldChar w:fldCharType="separate"/>
          </w:r>
          <w:r>
            <w:rPr>
              <w:rFonts w:ascii="仿宋" w:hAnsi="仿宋" w:eastAsia="仿宋"/>
              <w:sz w:val="32"/>
              <w:szCs w:val="32"/>
            </w:rPr>
            <w:t>161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"_Toc34141471" </w:instrText>
          </w:r>
          <w:r>
            <w:fldChar w:fldCharType="separate"/>
          </w:r>
          <w:r>
            <w:rPr>
              <w:rStyle w:val="222"/>
              <w:rFonts w:hint="eastAsia" w:ascii="仿宋" w:hAnsi="仿宋" w:eastAsia="仿宋"/>
              <w:sz w:val="32"/>
              <w:szCs w:val="32"/>
            </w:rPr>
            <w:t>（十七）湖北省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_Toc34141471 \h </w:instrText>
          </w:r>
          <w:r>
            <w:rPr>
              <w:rFonts w:ascii="仿宋" w:hAnsi="仿宋" w:eastAsia="仿宋"/>
              <w:sz w:val="32"/>
              <w:szCs w:val="32"/>
            </w:rPr>
            <w:fldChar w:fldCharType="separate"/>
          </w:r>
          <w:r>
            <w:rPr>
              <w:rFonts w:ascii="仿宋" w:hAnsi="仿宋" w:eastAsia="仿宋"/>
              <w:sz w:val="32"/>
              <w:szCs w:val="32"/>
            </w:rPr>
            <w:t>165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"_Toc34141472" </w:instrText>
          </w:r>
          <w:r>
            <w:fldChar w:fldCharType="separate"/>
          </w:r>
          <w:r>
            <w:rPr>
              <w:rStyle w:val="222"/>
              <w:rFonts w:hint="eastAsia" w:ascii="仿宋" w:hAnsi="仿宋" w:eastAsia="仿宋"/>
              <w:sz w:val="32"/>
              <w:szCs w:val="32"/>
            </w:rPr>
            <w:t>湖北省税务局支持新型冠状病毒感染肺炎疫情防控有关货物劳务税涉税业务问答</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_Toc34141472 \h </w:instrText>
          </w:r>
          <w:r>
            <w:rPr>
              <w:rFonts w:ascii="仿宋" w:hAnsi="仿宋" w:eastAsia="仿宋"/>
              <w:sz w:val="32"/>
              <w:szCs w:val="32"/>
            </w:rPr>
            <w:fldChar w:fldCharType="separate"/>
          </w:r>
          <w:r>
            <w:rPr>
              <w:rFonts w:ascii="仿宋" w:hAnsi="仿宋" w:eastAsia="仿宋"/>
              <w:sz w:val="32"/>
              <w:szCs w:val="32"/>
            </w:rPr>
            <w:t>165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"_Toc34141473" </w:instrText>
          </w:r>
          <w:r>
            <w:fldChar w:fldCharType="separate"/>
          </w:r>
          <w:r>
            <w:rPr>
              <w:rStyle w:val="222"/>
              <w:rFonts w:hint="eastAsia" w:ascii="仿宋" w:hAnsi="仿宋" w:eastAsia="仿宋"/>
              <w:sz w:val="32"/>
              <w:szCs w:val="32"/>
            </w:rPr>
            <w:t>（十八）湖南省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_Toc34141473 \h </w:instrText>
          </w:r>
          <w:r>
            <w:rPr>
              <w:rFonts w:ascii="仿宋" w:hAnsi="仿宋" w:eastAsia="仿宋"/>
              <w:sz w:val="32"/>
              <w:szCs w:val="32"/>
            </w:rPr>
            <w:fldChar w:fldCharType="separate"/>
          </w:r>
          <w:r>
            <w:rPr>
              <w:rFonts w:ascii="仿宋" w:hAnsi="仿宋" w:eastAsia="仿宋"/>
              <w:sz w:val="32"/>
              <w:szCs w:val="32"/>
            </w:rPr>
            <w:t>178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"_Toc34141474" </w:instrText>
          </w:r>
          <w:r>
            <w:fldChar w:fldCharType="separate"/>
          </w:r>
          <w:r>
            <w:rPr>
              <w:rStyle w:val="222"/>
              <w:rFonts w:hint="eastAsia" w:ascii="仿宋" w:hAnsi="仿宋" w:eastAsia="仿宋" w:cs="Times New Roman"/>
              <w:kern w:val="0"/>
              <w:sz w:val="32"/>
              <w:szCs w:val="32"/>
            </w:rPr>
            <w:t>国家税务总局湖南省税务局关于电子发票服务平台接入验证工作的公告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_Toc34141474 \h </w:instrText>
          </w:r>
          <w:r>
            <w:rPr>
              <w:rFonts w:ascii="仿宋" w:hAnsi="仿宋" w:eastAsia="仿宋"/>
              <w:sz w:val="32"/>
              <w:szCs w:val="32"/>
            </w:rPr>
            <w:fldChar w:fldCharType="separate"/>
          </w:r>
          <w:r>
            <w:rPr>
              <w:rFonts w:ascii="仿宋" w:hAnsi="仿宋" w:eastAsia="仿宋"/>
              <w:sz w:val="32"/>
              <w:szCs w:val="32"/>
            </w:rPr>
            <w:t>178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"_Toc34141475" </w:instrText>
          </w:r>
          <w:r>
            <w:fldChar w:fldCharType="separate"/>
          </w:r>
          <w:r>
            <w:rPr>
              <w:rStyle w:val="222"/>
              <w:rFonts w:hint="eastAsia" w:ascii="仿宋" w:hAnsi="仿宋" w:eastAsia="仿宋" w:cs="Times New Roman"/>
              <w:kern w:val="0"/>
              <w:sz w:val="32"/>
              <w:szCs w:val="32"/>
            </w:rPr>
            <w:t>国家税务总局湖南省税务局疫情防控期间涉税需求调查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_Toc34141475 \h </w:instrText>
          </w:r>
          <w:r>
            <w:rPr>
              <w:rFonts w:ascii="仿宋" w:hAnsi="仿宋" w:eastAsia="仿宋"/>
              <w:sz w:val="32"/>
              <w:szCs w:val="32"/>
            </w:rPr>
            <w:fldChar w:fldCharType="separate"/>
          </w:r>
          <w:r>
            <w:rPr>
              <w:rFonts w:ascii="仿宋" w:hAnsi="仿宋" w:eastAsia="仿宋"/>
              <w:sz w:val="32"/>
              <w:szCs w:val="32"/>
            </w:rPr>
            <w:t>180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"_Toc34141476" </w:instrText>
          </w:r>
          <w:r>
            <w:fldChar w:fldCharType="separate"/>
          </w:r>
          <w:r>
            <w:rPr>
              <w:rStyle w:val="222"/>
              <w:rFonts w:hint="eastAsia" w:ascii="仿宋" w:hAnsi="仿宋" w:eastAsia="仿宋" w:cs="Times New Roman"/>
              <w:kern w:val="0"/>
              <w:sz w:val="32"/>
              <w:szCs w:val="32"/>
            </w:rPr>
            <w:t>湖南省医疗保障局</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国家税务总局湖南省税务局</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湖南省财政厅</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关于城乡居民基本医疗保险费征收有关事项的通知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_Toc34141476 \h </w:instrText>
          </w:r>
          <w:r>
            <w:rPr>
              <w:rFonts w:ascii="仿宋" w:hAnsi="仿宋" w:eastAsia="仿宋"/>
              <w:sz w:val="32"/>
              <w:szCs w:val="32"/>
            </w:rPr>
            <w:fldChar w:fldCharType="separate"/>
          </w:r>
          <w:r>
            <w:rPr>
              <w:rFonts w:ascii="仿宋" w:hAnsi="仿宋" w:eastAsia="仿宋"/>
              <w:sz w:val="32"/>
              <w:szCs w:val="32"/>
            </w:rPr>
            <w:t>181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"_Toc34141477" </w:instrText>
          </w:r>
          <w:r>
            <w:fldChar w:fldCharType="separate"/>
          </w:r>
          <w:r>
            <w:rPr>
              <w:rStyle w:val="222"/>
              <w:rFonts w:hint="eastAsia" w:ascii="仿宋" w:hAnsi="仿宋" w:eastAsia="仿宋"/>
              <w:sz w:val="32"/>
              <w:szCs w:val="32"/>
            </w:rPr>
            <w:t>（十九）广东省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_Toc34141477 \h </w:instrText>
          </w:r>
          <w:r>
            <w:rPr>
              <w:rFonts w:ascii="仿宋" w:hAnsi="仿宋" w:eastAsia="仿宋"/>
              <w:sz w:val="32"/>
              <w:szCs w:val="32"/>
            </w:rPr>
            <w:fldChar w:fldCharType="separate"/>
          </w:r>
          <w:r>
            <w:rPr>
              <w:rFonts w:ascii="仿宋" w:hAnsi="仿宋" w:eastAsia="仿宋"/>
              <w:sz w:val="32"/>
              <w:szCs w:val="32"/>
            </w:rPr>
            <w:t>183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"_Toc34141478" </w:instrText>
          </w:r>
          <w:r>
            <w:fldChar w:fldCharType="separate"/>
          </w:r>
          <w:r>
            <w:rPr>
              <w:rStyle w:val="222"/>
              <w:rFonts w:hint="eastAsia" w:ascii="仿宋" w:hAnsi="仿宋" w:eastAsia="仿宋" w:cs="Times New Roman"/>
              <w:kern w:val="0"/>
              <w:sz w:val="32"/>
              <w:szCs w:val="32"/>
            </w:rPr>
            <w:t>国家税务总局广东省税务局关于进一步延长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月份纳税申报期限有关事项的通告</w:t>
          </w:r>
          <w:r>
            <w:rPr>
              <w:rStyle w:val="222"/>
              <w:rFonts w:ascii="仿宋" w:hAnsi="仿宋" w:eastAsia="仿宋"/>
              <w:sz w:val="32"/>
              <w:szCs w:val="32"/>
            </w:rPr>
            <w:t xml:space="preserve"> </w:t>
          </w:r>
          <w:r>
            <w:rPr>
              <w:rStyle w:val="222"/>
              <w:rFonts w:hint="eastAsia" w:ascii="仿宋" w:hAnsi="仿宋" w:eastAsia="仿宋"/>
              <w:sz w:val="32"/>
              <w:szCs w:val="32"/>
            </w:rPr>
            <w:t>（国家税务总局广东省税务局通告</w:t>
          </w:r>
          <w:r>
            <w:rPr>
              <w:rStyle w:val="222"/>
              <w:rFonts w:ascii="仿宋" w:hAnsi="仿宋" w:eastAsia="仿宋"/>
              <w:sz w:val="32"/>
              <w:szCs w:val="32"/>
            </w:rPr>
            <w:t>2020</w:t>
          </w:r>
          <w:r>
            <w:rPr>
              <w:rStyle w:val="222"/>
              <w:rFonts w:hint="eastAsia" w:ascii="仿宋" w:hAnsi="仿宋" w:eastAsia="仿宋"/>
              <w:sz w:val="32"/>
              <w:szCs w:val="32"/>
            </w:rPr>
            <w:t>年第</w:t>
          </w:r>
          <w:r>
            <w:rPr>
              <w:rStyle w:val="222"/>
              <w:rFonts w:ascii="仿宋" w:hAnsi="仿宋" w:eastAsia="仿宋"/>
              <w:sz w:val="32"/>
              <w:szCs w:val="32"/>
            </w:rPr>
            <w:t>6</w:t>
          </w:r>
          <w:r>
            <w:rPr>
              <w:rStyle w:val="222"/>
              <w:rFonts w:hint="eastAsia" w:ascii="仿宋" w:hAnsi="仿宋" w:eastAsia="仿宋"/>
              <w:sz w:val="32"/>
              <w:szCs w:val="32"/>
            </w:rPr>
            <w:t>号</w:t>
          </w:r>
          <w:r>
            <w:rPr>
              <w:rStyle w:val="222"/>
              <w:rFonts w:ascii="仿宋" w:hAnsi="仿宋" w:eastAsia="仿宋"/>
              <w:sz w:val="32"/>
              <w:szCs w:val="32"/>
            </w:rPr>
            <w:t xml:space="preserve"> )</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_Toc34141478 \h </w:instrText>
          </w:r>
          <w:r>
            <w:rPr>
              <w:rFonts w:ascii="仿宋" w:hAnsi="仿宋" w:eastAsia="仿宋"/>
              <w:sz w:val="32"/>
              <w:szCs w:val="32"/>
            </w:rPr>
            <w:fldChar w:fldCharType="separate"/>
          </w:r>
          <w:r>
            <w:rPr>
              <w:rFonts w:ascii="仿宋" w:hAnsi="仿宋" w:eastAsia="仿宋"/>
              <w:sz w:val="32"/>
              <w:szCs w:val="32"/>
            </w:rPr>
            <w:t>183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"_Toc34141517" </w:instrText>
          </w:r>
          <w:r>
            <w:fldChar w:fldCharType="separate"/>
          </w:r>
          <w:r>
            <w:rPr>
              <w:rStyle w:val="222"/>
              <w:rFonts w:hint="eastAsia" w:ascii="仿宋" w:hAnsi="仿宋" w:eastAsia="仿宋" w:cs="Times New Roman"/>
              <w:kern w:val="0"/>
              <w:sz w:val="32"/>
              <w:szCs w:val="32"/>
            </w:rPr>
            <w:t>国家税务总局深圳市税务局关于进一步延长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_Toc34141517 \h </w:instrText>
          </w:r>
          <w:r>
            <w:rPr>
              <w:rFonts w:ascii="仿宋" w:hAnsi="仿宋" w:eastAsia="仿宋"/>
              <w:sz w:val="32"/>
              <w:szCs w:val="32"/>
            </w:rPr>
            <w:fldChar w:fldCharType="separate"/>
          </w:r>
          <w:r>
            <w:rPr>
              <w:rFonts w:ascii="仿宋" w:hAnsi="仿宋" w:eastAsia="仿宋"/>
              <w:sz w:val="32"/>
              <w:szCs w:val="32"/>
            </w:rPr>
            <w:t>183</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"_Toc34141518" </w:instrText>
          </w:r>
          <w:r>
            <w:fldChar w:fldCharType="separate"/>
          </w:r>
          <w:r>
            <w:rPr>
              <w:rStyle w:val="222"/>
              <w:rFonts w:hint="eastAsia" w:ascii="仿宋" w:hAnsi="仿宋" w:eastAsia="仿宋" w:cs="Times New Roman"/>
              <w:kern w:val="0"/>
              <w:sz w:val="32"/>
              <w:szCs w:val="32"/>
            </w:rPr>
            <w:t>国家税务总局深圳市税务局关于防疫期间实行“非接触式”税收违法行为检举的温馨提示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_Toc34141518 \h </w:instrText>
          </w:r>
          <w:r>
            <w:rPr>
              <w:rFonts w:ascii="仿宋" w:hAnsi="仿宋" w:eastAsia="仿宋"/>
              <w:sz w:val="32"/>
              <w:szCs w:val="32"/>
            </w:rPr>
            <w:fldChar w:fldCharType="separate"/>
          </w:r>
          <w:r>
            <w:rPr>
              <w:rFonts w:ascii="仿宋" w:hAnsi="仿宋" w:eastAsia="仿宋"/>
              <w:sz w:val="32"/>
              <w:szCs w:val="32"/>
            </w:rPr>
            <w:t>184</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"_Toc34141519" </w:instrText>
          </w:r>
          <w:r>
            <w:fldChar w:fldCharType="separate"/>
          </w:r>
          <w:r>
            <w:rPr>
              <w:rStyle w:val="222"/>
              <w:rFonts w:hint="eastAsia" w:ascii="仿宋" w:hAnsi="仿宋" w:eastAsia="仿宋" w:cs="Times New Roman"/>
              <w:kern w:val="0"/>
              <w:sz w:val="32"/>
              <w:szCs w:val="32"/>
            </w:rPr>
            <w:t>国家税务总局深圳市税务局关于电子发票服务平台接入验证工作的公告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_Toc34141519 \h </w:instrText>
          </w:r>
          <w:r>
            <w:rPr>
              <w:rFonts w:ascii="仿宋" w:hAnsi="仿宋" w:eastAsia="仿宋"/>
              <w:sz w:val="32"/>
              <w:szCs w:val="32"/>
            </w:rPr>
            <w:fldChar w:fldCharType="separate"/>
          </w:r>
          <w:r>
            <w:rPr>
              <w:rFonts w:ascii="仿宋" w:hAnsi="仿宋" w:eastAsia="仿宋"/>
              <w:sz w:val="32"/>
              <w:szCs w:val="32"/>
            </w:rPr>
            <w:t>185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5.</w:t>
          </w:r>
          <w:r>
            <w:fldChar w:fldCharType="begin"/>
          </w:r>
          <w:r>
            <w:instrText xml:space="preserve"> HYPERLINK \l "_Toc34141520" </w:instrText>
          </w:r>
          <w:r>
            <w:fldChar w:fldCharType="separate"/>
          </w:r>
          <w:r>
            <w:rPr>
              <w:rStyle w:val="222"/>
              <w:rFonts w:hint="eastAsia" w:ascii="仿宋" w:hAnsi="仿宋" w:eastAsia="仿宋" w:cs="Times New Roman"/>
              <w:kern w:val="0"/>
              <w:sz w:val="32"/>
              <w:szCs w:val="32"/>
            </w:rPr>
            <w:t>国家税务总局深圳市税务局关于发布疫情期间“非接触式”线上线下融合办税清单的通告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_Toc34141520 \h </w:instrText>
          </w:r>
          <w:r>
            <w:rPr>
              <w:rFonts w:ascii="仿宋" w:hAnsi="仿宋" w:eastAsia="仿宋"/>
              <w:sz w:val="32"/>
              <w:szCs w:val="32"/>
            </w:rPr>
            <w:fldChar w:fldCharType="separate"/>
          </w:r>
          <w:r>
            <w:rPr>
              <w:rFonts w:ascii="仿宋" w:hAnsi="仿宋" w:eastAsia="仿宋"/>
              <w:sz w:val="32"/>
              <w:szCs w:val="32"/>
            </w:rPr>
            <w:t>188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6.</w:t>
          </w:r>
          <w:r>
            <w:fldChar w:fldCharType="begin"/>
          </w:r>
          <w:r>
            <w:instrText xml:space="preserve"> HYPERLINK \l "_Toc34141521" </w:instrText>
          </w:r>
          <w:r>
            <w:fldChar w:fldCharType="separate"/>
          </w:r>
          <w:r>
            <w:rPr>
              <w:rStyle w:val="222"/>
              <w:rFonts w:hint="eastAsia" w:ascii="仿宋" w:hAnsi="仿宋" w:eastAsia="仿宋" w:cs="Times New Roman"/>
              <w:kern w:val="0"/>
              <w:sz w:val="32"/>
              <w:szCs w:val="32"/>
            </w:rPr>
            <w:t>国家税务总局深圳市税务局电子税务局新上线无盘勾选发票功能操作指引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_Toc34141521 \h </w:instrText>
          </w:r>
          <w:r>
            <w:rPr>
              <w:rFonts w:ascii="仿宋" w:hAnsi="仿宋" w:eastAsia="仿宋"/>
              <w:sz w:val="32"/>
              <w:szCs w:val="32"/>
            </w:rPr>
            <w:fldChar w:fldCharType="separate"/>
          </w:r>
          <w:r>
            <w:rPr>
              <w:rFonts w:ascii="仿宋" w:hAnsi="仿宋" w:eastAsia="仿宋"/>
              <w:sz w:val="32"/>
              <w:szCs w:val="32"/>
            </w:rPr>
            <w:t>194</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7.</w:t>
          </w:r>
          <w:r>
            <w:fldChar w:fldCharType="begin"/>
          </w:r>
          <w:r>
            <w:instrText xml:space="preserve"> HYPERLINK \l "_Toc34141522" </w:instrText>
          </w:r>
          <w:r>
            <w:fldChar w:fldCharType="separate"/>
          </w:r>
          <w:r>
            <w:rPr>
              <w:rStyle w:val="222"/>
              <w:rFonts w:hint="eastAsia" w:ascii="仿宋" w:hAnsi="仿宋" w:eastAsia="仿宋" w:cs="Times New Roman"/>
              <w:kern w:val="0"/>
              <w:sz w:val="32"/>
              <w:szCs w:val="32"/>
            </w:rPr>
            <w:t>国家税务总局深圳市税务局关于发布“非接触式”网上办税清单的通告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_Toc34141522 \h </w:instrText>
          </w:r>
          <w:r>
            <w:rPr>
              <w:rFonts w:ascii="仿宋" w:hAnsi="仿宋" w:eastAsia="仿宋"/>
              <w:sz w:val="32"/>
              <w:szCs w:val="32"/>
            </w:rPr>
            <w:fldChar w:fldCharType="separate"/>
          </w:r>
          <w:r>
            <w:rPr>
              <w:rFonts w:ascii="仿宋" w:hAnsi="仿宋" w:eastAsia="仿宋"/>
              <w:sz w:val="32"/>
              <w:szCs w:val="32"/>
            </w:rPr>
            <w:t>195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"_Toc34141479" </w:instrText>
          </w:r>
          <w:r>
            <w:fldChar w:fldCharType="separate"/>
          </w:r>
          <w:r>
            <w:rPr>
              <w:rStyle w:val="222"/>
              <w:rFonts w:hint="eastAsia" w:ascii="仿宋" w:hAnsi="仿宋" w:eastAsia="仿宋"/>
              <w:sz w:val="32"/>
              <w:szCs w:val="32"/>
            </w:rPr>
            <w:t>（二十）广西壮族自治区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_Toc34141479 \h </w:instrText>
          </w:r>
          <w:r>
            <w:rPr>
              <w:rFonts w:ascii="仿宋" w:hAnsi="仿宋" w:eastAsia="仿宋"/>
              <w:sz w:val="32"/>
              <w:szCs w:val="32"/>
            </w:rPr>
            <w:fldChar w:fldCharType="separate"/>
          </w:r>
          <w:r>
            <w:rPr>
              <w:rFonts w:ascii="仿宋" w:hAnsi="仿宋" w:eastAsia="仿宋"/>
              <w:sz w:val="32"/>
              <w:szCs w:val="32"/>
            </w:rPr>
            <w:t>218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"_Toc34141480" </w:instrText>
          </w:r>
          <w:r>
            <w:fldChar w:fldCharType="separate"/>
          </w:r>
          <w:r>
            <w:rPr>
              <w:rStyle w:val="222"/>
              <w:rFonts w:hint="eastAsia" w:ascii="仿宋" w:hAnsi="仿宋" w:eastAsia="仿宋" w:cs="Times New Roman"/>
              <w:kern w:val="0"/>
              <w:sz w:val="32"/>
              <w:szCs w:val="32"/>
            </w:rPr>
            <w:t>广西壮族自治区财政厅　国家税务总局广西壮族自治区税务局关于进一步明确生产经营防疫物资企业免征企业所得税地方分享部分政策的通知</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（桂财税〔</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3</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_Toc34141480 \h </w:instrText>
          </w:r>
          <w:r>
            <w:rPr>
              <w:rFonts w:ascii="仿宋" w:hAnsi="仿宋" w:eastAsia="仿宋"/>
              <w:sz w:val="32"/>
              <w:szCs w:val="32"/>
            </w:rPr>
            <w:fldChar w:fldCharType="separate"/>
          </w:r>
          <w:r>
            <w:rPr>
              <w:rFonts w:ascii="仿宋" w:hAnsi="仿宋" w:eastAsia="仿宋"/>
              <w:sz w:val="32"/>
              <w:szCs w:val="32"/>
            </w:rPr>
            <w:t>218</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"_Toc34141481" </w:instrText>
          </w:r>
          <w:r>
            <w:fldChar w:fldCharType="separate"/>
          </w:r>
          <w:r>
            <w:rPr>
              <w:rStyle w:val="222"/>
              <w:rFonts w:hint="eastAsia" w:ascii="仿宋" w:hAnsi="仿宋" w:eastAsia="仿宋"/>
              <w:sz w:val="32"/>
              <w:szCs w:val="32"/>
            </w:rPr>
            <w:t>（二十一）海南省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_Toc34141481 \h </w:instrText>
          </w:r>
          <w:r>
            <w:rPr>
              <w:rFonts w:ascii="仿宋" w:hAnsi="仿宋" w:eastAsia="仿宋"/>
              <w:sz w:val="32"/>
              <w:szCs w:val="32"/>
            </w:rPr>
            <w:fldChar w:fldCharType="separate"/>
          </w:r>
          <w:r>
            <w:rPr>
              <w:rFonts w:ascii="仿宋" w:hAnsi="仿宋" w:eastAsia="仿宋"/>
              <w:sz w:val="32"/>
              <w:szCs w:val="32"/>
            </w:rPr>
            <w:t>220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"_Toc34141482" </w:instrText>
          </w:r>
          <w:r>
            <w:fldChar w:fldCharType="separate"/>
          </w:r>
          <w:r>
            <w:rPr>
              <w:rStyle w:val="222"/>
              <w:rFonts w:hint="eastAsia" w:ascii="仿宋" w:hAnsi="仿宋" w:eastAsia="仿宋" w:cs="Times New Roman"/>
              <w:bCs/>
              <w:kern w:val="0"/>
              <w:sz w:val="32"/>
              <w:szCs w:val="32"/>
            </w:rPr>
            <w:t>国家税务总局海南省税务局关于暂时关闭电子税务局社保费申报功能的温馨提示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_Toc34141482 \h </w:instrText>
          </w:r>
          <w:r>
            <w:rPr>
              <w:rFonts w:ascii="仿宋" w:hAnsi="仿宋" w:eastAsia="仿宋"/>
              <w:sz w:val="32"/>
              <w:szCs w:val="32"/>
            </w:rPr>
            <w:fldChar w:fldCharType="separate"/>
          </w:r>
          <w:r>
            <w:rPr>
              <w:rFonts w:ascii="仿宋" w:hAnsi="仿宋" w:eastAsia="仿宋"/>
              <w:sz w:val="32"/>
              <w:szCs w:val="32"/>
            </w:rPr>
            <w:t>220</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"_Toc34141483" </w:instrText>
          </w:r>
          <w:r>
            <w:fldChar w:fldCharType="separate"/>
          </w:r>
          <w:r>
            <w:rPr>
              <w:rStyle w:val="222"/>
              <w:rFonts w:hint="eastAsia" w:ascii="仿宋" w:hAnsi="仿宋" w:eastAsia="仿宋" w:cs="Times New Roman"/>
              <w:bCs/>
              <w:kern w:val="0"/>
              <w:sz w:val="32"/>
              <w:szCs w:val="32"/>
            </w:rPr>
            <w:t>国家税务总局海南省税务局抗击疫情税费政策汇编</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_Toc34141483 \h </w:instrText>
          </w:r>
          <w:r>
            <w:rPr>
              <w:rFonts w:ascii="仿宋" w:hAnsi="仿宋" w:eastAsia="仿宋"/>
              <w:sz w:val="32"/>
              <w:szCs w:val="32"/>
            </w:rPr>
            <w:fldChar w:fldCharType="separate"/>
          </w:r>
          <w:r>
            <w:rPr>
              <w:rFonts w:ascii="仿宋" w:hAnsi="仿宋" w:eastAsia="仿宋"/>
              <w:sz w:val="32"/>
              <w:szCs w:val="32"/>
            </w:rPr>
            <w:t>220</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"_Toc34141484" </w:instrText>
          </w:r>
          <w:r>
            <w:fldChar w:fldCharType="separate"/>
          </w:r>
          <w:r>
            <w:rPr>
              <w:rStyle w:val="222"/>
              <w:rFonts w:hint="eastAsia" w:ascii="仿宋" w:hAnsi="仿宋" w:eastAsia="仿宋"/>
              <w:sz w:val="32"/>
              <w:szCs w:val="32"/>
            </w:rPr>
            <w:t>（二十二）重庆市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_Toc34141484 \h </w:instrText>
          </w:r>
          <w:r>
            <w:rPr>
              <w:rFonts w:ascii="仿宋" w:hAnsi="仿宋" w:eastAsia="仿宋"/>
              <w:sz w:val="32"/>
              <w:szCs w:val="32"/>
            </w:rPr>
            <w:fldChar w:fldCharType="separate"/>
          </w:r>
          <w:r>
            <w:rPr>
              <w:rFonts w:ascii="仿宋" w:hAnsi="仿宋" w:eastAsia="仿宋"/>
              <w:sz w:val="32"/>
              <w:szCs w:val="32"/>
            </w:rPr>
            <w:t>221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fldChar w:fldCharType="begin"/>
          </w:r>
          <w:r>
            <w:instrText xml:space="preserve"> HYPERLINK \l "_Toc34141485" </w:instrText>
          </w:r>
          <w:r>
            <w:fldChar w:fldCharType="separate"/>
          </w:r>
          <w:r>
            <w:rPr>
              <w:rStyle w:val="222"/>
              <w:rFonts w:hint="eastAsia" w:ascii="仿宋" w:hAnsi="仿宋" w:eastAsia="仿宋" w:cs="Times New Roman"/>
              <w:kern w:val="0"/>
              <w:sz w:val="32"/>
              <w:szCs w:val="32"/>
            </w:rPr>
            <w:t>国家税务总局重庆市税务局关于电子发票服务平台接入验证工作的通告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_Toc34141485 \h </w:instrText>
          </w:r>
          <w:r>
            <w:rPr>
              <w:rFonts w:ascii="仿宋" w:hAnsi="仿宋" w:eastAsia="仿宋"/>
              <w:sz w:val="32"/>
              <w:szCs w:val="32"/>
            </w:rPr>
            <w:fldChar w:fldCharType="separate"/>
          </w:r>
          <w:r>
            <w:rPr>
              <w:rFonts w:ascii="仿宋" w:hAnsi="仿宋" w:eastAsia="仿宋"/>
              <w:sz w:val="32"/>
              <w:szCs w:val="32"/>
            </w:rPr>
            <w:t>221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"_Toc34141486" </w:instrText>
          </w:r>
          <w:r>
            <w:fldChar w:fldCharType="separate"/>
          </w:r>
          <w:r>
            <w:rPr>
              <w:rStyle w:val="222"/>
              <w:rFonts w:hint="eastAsia" w:ascii="仿宋" w:hAnsi="仿宋" w:eastAsia="仿宋"/>
              <w:sz w:val="32"/>
              <w:szCs w:val="32"/>
            </w:rPr>
            <w:t>（二十三）四川省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_Toc34141486 \h </w:instrText>
          </w:r>
          <w:r>
            <w:rPr>
              <w:rFonts w:ascii="仿宋" w:hAnsi="仿宋" w:eastAsia="仿宋"/>
              <w:sz w:val="32"/>
              <w:szCs w:val="32"/>
            </w:rPr>
            <w:fldChar w:fldCharType="separate"/>
          </w:r>
          <w:r>
            <w:rPr>
              <w:rFonts w:ascii="仿宋" w:hAnsi="仿宋" w:eastAsia="仿宋"/>
              <w:sz w:val="32"/>
              <w:szCs w:val="32"/>
            </w:rPr>
            <w:t>225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"_Toc34141487" </w:instrText>
          </w:r>
          <w:r>
            <w:fldChar w:fldCharType="separate"/>
          </w:r>
          <w:r>
            <w:rPr>
              <w:rStyle w:val="222"/>
              <w:rFonts w:hint="eastAsia" w:ascii="仿宋" w:hAnsi="仿宋" w:eastAsia="仿宋" w:cs="Times New Roman"/>
              <w:kern w:val="0"/>
              <w:sz w:val="32"/>
              <w:szCs w:val="32"/>
            </w:rPr>
            <w:t>国家税务总局四川省税务局关于全省新冠肺炎疫情防控期间非接触式”办税缴费有关事宜的通告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_Toc34141487 \h </w:instrText>
          </w:r>
          <w:r>
            <w:rPr>
              <w:rFonts w:ascii="仿宋" w:hAnsi="仿宋" w:eastAsia="仿宋"/>
              <w:sz w:val="32"/>
              <w:szCs w:val="32"/>
            </w:rPr>
            <w:fldChar w:fldCharType="separate"/>
          </w:r>
          <w:r>
            <w:rPr>
              <w:rFonts w:ascii="仿宋" w:hAnsi="仿宋" w:eastAsia="仿宋"/>
              <w:sz w:val="32"/>
              <w:szCs w:val="32"/>
            </w:rPr>
            <w:t>225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"_Toc34141488" </w:instrText>
          </w:r>
          <w:r>
            <w:fldChar w:fldCharType="separate"/>
          </w:r>
          <w:r>
            <w:rPr>
              <w:rStyle w:val="222"/>
              <w:rFonts w:hint="eastAsia" w:ascii="仿宋" w:hAnsi="仿宋" w:eastAsia="仿宋" w:cs="Times New Roman"/>
              <w:kern w:val="0"/>
              <w:sz w:val="32"/>
              <w:szCs w:val="32"/>
            </w:rPr>
            <w:t>国家税务总局四川省税务局关于做好支持新型冠状病毒感染的肺炎疫情防控有关税收征管工作事宜的通知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_Toc34141488 \h </w:instrText>
          </w:r>
          <w:r>
            <w:rPr>
              <w:rFonts w:ascii="仿宋" w:hAnsi="仿宋" w:eastAsia="仿宋"/>
              <w:sz w:val="32"/>
              <w:szCs w:val="32"/>
            </w:rPr>
            <w:fldChar w:fldCharType="separate"/>
          </w:r>
          <w:r>
            <w:rPr>
              <w:rFonts w:ascii="仿宋" w:hAnsi="仿宋" w:eastAsia="仿宋"/>
              <w:sz w:val="32"/>
              <w:szCs w:val="32"/>
            </w:rPr>
            <w:t>228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"_Toc34141489" </w:instrText>
          </w:r>
          <w:r>
            <w:fldChar w:fldCharType="separate"/>
          </w:r>
          <w:r>
            <w:rPr>
              <w:rStyle w:val="222"/>
              <w:rFonts w:hint="eastAsia" w:ascii="仿宋" w:hAnsi="仿宋" w:eastAsia="仿宋" w:cs="Times New Roman"/>
              <w:kern w:val="0"/>
              <w:sz w:val="32"/>
              <w:szCs w:val="32"/>
            </w:rPr>
            <w:t>国家税务总局四川省税务局疫情防控，社保缴费升级第三波：微信公众号缴费可用微信支付</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_Toc34141489 \h </w:instrText>
          </w:r>
          <w:r>
            <w:rPr>
              <w:rFonts w:ascii="仿宋" w:hAnsi="仿宋" w:eastAsia="仿宋"/>
              <w:sz w:val="32"/>
              <w:szCs w:val="32"/>
            </w:rPr>
            <w:fldChar w:fldCharType="separate"/>
          </w:r>
          <w:r>
            <w:rPr>
              <w:rFonts w:ascii="仿宋" w:hAnsi="仿宋" w:eastAsia="仿宋"/>
              <w:sz w:val="32"/>
              <w:szCs w:val="32"/>
            </w:rPr>
            <w:t>229</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ind w:left="850" w:leftChars="405"/>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"_Toc34141490" </w:instrText>
          </w:r>
          <w:r>
            <w:fldChar w:fldCharType="separate"/>
          </w:r>
          <w:r>
            <w:rPr>
              <w:rStyle w:val="222"/>
              <w:rFonts w:hint="eastAsia" w:ascii="仿宋" w:hAnsi="仿宋" w:eastAsia="仿宋" w:cs="宋体"/>
              <w:bCs/>
              <w:color w:val="auto"/>
              <w:kern w:val="0"/>
              <w:sz w:val="32"/>
              <w:szCs w:val="32"/>
              <w:u w:val="none"/>
            </w:rPr>
            <w:t>国家税务总局四川省税务局</w:t>
          </w:r>
          <w:r>
            <w:rPr>
              <w:rStyle w:val="222"/>
              <w:rFonts w:ascii="仿宋" w:hAnsi="仿宋" w:eastAsia="仿宋" w:cs="宋体"/>
              <w:bCs/>
              <w:color w:val="auto"/>
              <w:kern w:val="0"/>
              <w:sz w:val="32"/>
              <w:szCs w:val="32"/>
              <w:u w:val="none"/>
            </w:rPr>
            <w:t xml:space="preserve"> </w:t>
          </w:r>
          <w:r>
            <w:rPr>
              <w:rStyle w:val="222"/>
              <w:rFonts w:hint="eastAsia" w:ascii="仿宋" w:hAnsi="仿宋" w:eastAsia="仿宋" w:cs="宋体"/>
              <w:bCs/>
              <w:color w:val="auto"/>
              <w:kern w:val="0"/>
              <w:sz w:val="32"/>
              <w:szCs w:val="32"/>
              <w:u w:val="none"/>
            </w:rPr>
            <w:t>中国银行保险监督管理委员会四川监管局关于落实应对新型冠状病毒肺炎疫情有关车船税政策的公告</w:t>
          </w:r>
          <w:r>
            <w:rPr>
              <w:rStyle w:val="222"/>
              <w:rFonts w:ascii="仿宋" w:hAnsi="仿宋" w:eastAsia="仿宋" w:cs="宋体"/>
              <w:bCs/>
              <w:color w:val="auto"/>
              <w:kern w:val="0"/>
              <w:sz w:val="32"/>
              <w:szCs w:val="32"/>
              <w:u w:val="none"/>
            </w:rPr>
            <w:t xml:space="preserve"> </w:t>
          </w:r>
          <w:r>
            <w:rPr>
              <w:rStyle w:val="222"/>
              <w:rFonts w:hint="eastAsia" w:ascii="仿宋" w:hAnsi="仿宋" w:eastAsia="仿宋" w:cs="宋体"/>
              <w:bCs/>
              <w:color w:val="auto"/>
              <w:kern w:val="0"/>
              <w:sz w:val="32"/>
              <w:szCs w:val="32"/>
              <w:u w:val="none"/>
            </w:rPr>
            <w:t>川财税〔</w:t>
          </w:r>
          <w:r>
            <w:rPr>
              <w:rStyle w:val="222"/>
              <w:rFonts w:ascii="仿宋" w:hAnsi="仿宋" w:eastAsia="仿宋" w:cs="宋体"/>
              <w:bCs/>
              <w:color w:val="auto"/>
              <w:kern w:val="0"/>
              <w:sz w:val="32"/>
              <w:szCs w:val="32"/>
              <w:u w:val="none"/>
            </w:rPr>
            <w:t>2020</w:t>
          </w:r>
          <w:r>
            <w:rPr>
              <w:rStyle w:val="222"/>
              <w:rFonts w:hint="eastAsia" w:ascii="仿宋" w:hAnsi="仿宋" w:eastAsia="仿宋" w:cs="宋体"/>
              <w:bCs/>
              <w:color w:val="auto"/>
              <w:kern w:val="0"/>
              <w:sz w:val="32"/>
              <w:szCs w:val="32"/>
              <w:u w:val="none"/>
            </w:rPr>
            <w:t>〕</w:t>
          </w:r>
          <w:r>
            <w:rPr>
              <w:rStyle w:val="222"/>
              <w:rFonts w:ascii="仿宋" w:hAnsi="仿宋" w:eastAsia="仿宋" w:cs="宋体"/>
              <w:bCs/>
              <w:color w:val="auto"/>
              <w:kern w:val="0"/>
              <w:sz w:val="32"/>
              <w:szCs w:val="32"/>
              <w:u w:val="none"/>
            </w:rPr>
            <w:t>2</w:t>
          </w:r>
          <w:r>
            <w:rPr>
              <w:rStyle w:val="222"/>
              <w:rFonts w:hint="eastAsia" w:ascii="仿宋" w:hAnsi="仿宋" w:eastAsia="仿宋" w:cs="宋体"/>
              <w:bCs/>
              <w:color w:val="auto"/>
              <w:kern w:val="0"/>
              <w:sz w:val="32"/>
              <w:szCs w:val="32"/>
              <w:u w:val="none"/>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_Toc34141490 \h </w:instrText>
          </w:r>
          <w:r>
            <w:rPr>
              <w:rFonts w:ascii="仿宋" w:hAnsi="仿宋" w:eastAsia="仿宋"/>
              <w:sz w:val="32"/>
              <w:szCs w:val="32"/>
            </w:rPr>
            <w:fldChar w:fldCharType="separate"/>
          </w:r>
          <w:r>
            <w:rPr>
              <w:rFonts w:ascii="仿宋" w:hAnsi="仿宋" w:eastAsia="仿宋"/>
              <w:sz w:val="32"/>
              <w:szCs w:val="32"/>
            </w:rPr>
            <w:t>229</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"_Toc34141491" </w:instrText>
          </w:r>
          <w:r>
            <w:fldChar w:fldCharType="separate"/>
          </w:r>
          <w:r>
            <w:rPr>
              <w:rStyle w:val="222"/>
              <w:rFonts w:hint="eastAsia" w:ascii="仿宋" w:hAnsi="仿宋" w:eastAsia="仿宋"/>
              <w:sz w:val="32"/>
              <w:szCs w:val="32"/>
            </w:rPr>
            <w:t>（二十四）贵州省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_Toc34141491 \h </w:instrText>
          </w:r>
          <w:r>
            <w:rPr>
              <w:rFonts w:ascii="仿宋" w:hAnsi="仿宋" w:eastAsia="仿宋"/>
              <w:sz w:val="32"/>
              <w:szCs w:val="32"/>
            </w:rPr>
            <w:fldChar w:fldCharType="separate"/>
          </w:r>
          <w:r>
            <w:rPr>
              <w:rFonts w:ascii="仿宋" w:hAnsi="仿宋" w:eastAsia="仿宋"/>
              <w:sz w:val="32"/>
              <w:szCs w:val="32"/>
            </w:rPr>
            <w:t>232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"_Toc34141492" </w:instrText>
          </w:r>
          <w:r>
            <w:fldChar w:fldCharType="separate"/>
          </w:r>
          <w:r>
            <w:rPr>
              <w:rStyle w:val="222"/>
              <w:rFonts w:hint="eastAsia" w:ascii="仿宋" w:hAnsi="仿宋" w:eastAsia="仿宋" w:cs="Times New Roman"/>
              <w:kern w:val="0"/>
              <w:sz w:val="32"/>
              <w:szCs w:val="32"/>
            </w:rPr>
            <w:t>国家税务总局贵州省税务局关于电子发票服务平台接入验证工作的公告</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（国家税务总局贵州省税务局公告</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年第</w:t>
          </w:r>
          <w:r>
            <w:rPr>
              <w:rStyle w:val="222"/>
              <w:rFonts w:ascii="仿宋" w:hAnsi="仿宋" w:eastAsia="仿宋" w:cs="Times New Roman"/>
              <w:kern w:val="0"/>
              <w:sz w:val="32"/>
              <w:szCs w:val="32"/>
            </w:rPr>
            <w:t>4</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_Toc34141492 \h </w:instrText>
          </w:r>
          <w:r>
            <w:rPr>
              <w:rFonts w:ascii="仿宋" w:hAnsi="仿宋" w:eastAsia="仿宋"/>
              <w:sz w:val="32"/>
              <w:szCs w:val="32"/>
            </w:rPr>
            <w:fldChar w:fldCharType="separate"/>
          </w:r>
          <w:r>
            <w:rPr>
              <w:rFonts w:ascii="仿宋" w:hAnsi="仿宋" w:eastAsia="仿宋"/>
              <w:sz w:val="32"/>
              <w:szCs w:val="32"/>
            </w:rPr>
            <w:t>232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"_Toc34141493" </w:instrText>
          </w:r>
          <w:r>
            <w:fldChar w:fldCharType="separate"/>
          </w:r>
          <w:r>
            <w:rPr>
              <w:rStyle w:val="222"/>
              <w:rFonts w:hint="eastAsia" w:ascii="仿宋" w:hAnsi="仿宋" w:eastAsia="仿宋" w:cs="Times New Roman"/>
              <w:kern w:val="0"/>
              <w:sz w:val="32"/>
              <w:szCs w:val="32"/>
            </w:rPr>
            <w:t>国家税务总局贵州省税务局关于增值税发票综合服务平台维护的公告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_Toc34141493 \h </w:instrText>
          </w:r>
          <w:r>
            <w:rPr>
              <w:rFonts w:ascii="仿宋" w:hAnsi="仿宋" w:eastAsia="仿宋"/>
              <w:sz w:val="32"/>
              <w:szCs w:val="32"/>
            </w:rPr>
            <w:fldChar w:fldCharType="separate"/>
          </w:r>
          <w:r>
            <w:rPr>
              <w:rFonts w:ascii="仿宋" w:hAnsi="仿宋" w:eastAsia="仿宋"/>
              <w:sz w:val="32"/>
              <w:szCs w:val="32"/>
            </w:rPr>
            <w:t>235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"_Toc34141494" </w:instrText>
          </w:r>
          <w:r>
            <w:fldChar w:fldCharType="separate"/>
          </w:r>
          <w:r>
            <w:rPr>
              <w:rStyle w:val="222"/>
              <w:rFonts w:hint="eastAsia" w:ascii="仿宋" w:hAnsi="仿宋" w:eastAsia="仿宋"/>
              <w:sz w:val="32"/>
              <w:szCs w:val="32"/>
            </w:rPr>
            <w:t>（二十五）云南省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_Toc34141494 \h </w:instrText>
          </w:r>
          <w:r>
            <w:rPr>
              <w:rFonts w:ascii="仿宋" w:hAnsi="仿宋" w:eastAsia="仿宋"/>
              <w:sz w:val="32"/>
              <w:szCs w:val="32"/>
            </w:rPr>
            <w:fldChar w:fldCharType="separate"/>
          </w:r>
          <w:r>
            <w:rPr>
              <w:rFonts w:ascii="仿宋" w:hAnsi="仿宋" w:eastAsia="仿宋"/>
              <w:sz w:val="32"/>
              <w:szCs w:val="32"/>
            </w:rPr>
            <w:t>236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"_Toc34141495" </w:instrText>
          </w:r>
          <w:r>
            <w:fldChar w:fldCharType="separate"/>
          </w:r>
          <w:r>
            <w:rPr>
              <w:rStyle w:val="222"/>
              <w:rFonts w:hint="eastAsia" w:ascii="仿宋" w:hAnsi="仿宋" w:eastAsia="仿宋" w:cs="Times New Roman"/>
              <w:kern w:val="0"/>
              <w:sz w:val="32"/>
              <w:szCs w:val="32"/>
            </w:rPr>
            <w:t>国家税务总局云南省税务局支持新型冠状病毒感染的肺炎疫情防控有关增值税政策的申报参考案例</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_Toc34141495 \h </w:instrText>
          </w:r>
          <w:r>
            <w:rPr>
              <w:rFonts w:ascii="仿宋" w:hAnsi="仿宋" w:eastAsia="仿宋"/>
              <w:sz w:val="32"/>
              <w:szCs w:val="32"/>
            </w:rPr>
            <w:fldChar w:fldCharType="separate"/>
          </w:r>
          <w:r>
            <w:rPr>
              <w:rFonts w:ascii="仿宋" w:hAnsi="仿宋" w:eastAsia="仿宋"/>
              <w:sz w:val="32"/>
              <w:szCs w:val="32"/>
            </w:rPr>
            <w:t>236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"_Toc34141496" </w:instrText>
          </w:r>
          <w:r>
            <w:fldChar w:fldCharType="separate"/>
          </w:r>
          <w:r>
            <w:rPr>
              <w:rStyle w:val="222"/>
              <w:rFonts w:hint="eastAsia" w:ascii="仿宋" w:hAnsi="仿宋" w:eastAsia="仿宋" w:cs="Times New Roman"/>
              <w:kern w:val="0"/>
              <w:sz w:val="32"/>
              <w:szCs w:val="32"/>
            </w:rPr>
            <w:t>国家税务总局云南省税务局关于疫情防控期间全省推行“非接触式”缴纳社保费的倡议书</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_Toc34141496 \h </w:instrText>
          </w:r>
          <w:r>
            <w:rPr>
              <w:rFonts w:ascii="仿宋" w:hAnsi="仿宋" w:eastAsia="仿宋"/>
              <w:sz w:val="32"/>
              <w:szCs w:val="32"/>
            </w:rPr>
            <w:fldChar w:fldCharType="separate"/>
          </w:r>
          <w:r>
            <w:rPr>
              <w:rFonts w:ascii="仿宋" w:hAnsi="仿宋" w:eastAsia="仿宋"/>
              <w:sz w:val="32"/>
              <w:szCs w:val="32"/>
            </w:rPr>
            <w:t>236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"_Toc34141497" </w:instrText>
          </w:r>
          <w:r>
            <w:fldChar w:fldCharType="separate"/>
          </w:r>
          <w:r>
            <w:rPr>
              <w:rStyle w:val="222"/>
              <w:rFonts w:hint="eastAsia" w:ascii="仿宋" w:hAnsi="仿宋" w:eastAsia="仿宋" w:cs="Times New Roman"/>
              <w:kern w:val="0"/>
              <w:sz w:val="32"/>
              <w:szCs w:val="32"/>
            </w:rPr>
            <w:t>国家税务总局云南省税务局关于企业自建和第三方电子发票服务平台接入验证工作的公告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_Toc34141497 \h </w:instrText>
          </w:r>
          <w:r>
            <w:rPr>
              <w:rFonts w:ascii="仿宋" w:hAnsi="仿宋" w:eastAsia="仿宋"/>
              <w:sz w:val="32"/>
              <w:szCs w:val="32"/>
            </w:rPr>
            <w:fldChar w:fldCharType="separate"/>
          </w:r>
          <w:r>
            <w:rPr>
              <w:rFonts w:ascii="仿宋" w:hAnsi="仿宋" w:eastAsia="仿宋"/>
              <w:sz w:val="32"/>
              <w:szCs w:val="32"/>
            </w:rPr>
            <w:t>239</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"_Toc34141498" </w:instrText>
          </w:r>
          <w:r>
            <w:fldChar w:fldCharType="separate"/>
          </w:r>
          <w:r>
            <w:rPr>
              <w:rStyle w:val="222"/>
              <w:rFonts w:hint="eastAsia" w:ascii="仿宋" w:hAnsi="仿宋" w:eastAsia="仿宋"/>
              <w:sz w:val="32"/>
              <w:szCs w:val="32"/>
            </w:rPr>
            <w:t>（二十六）甘肃省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_Toc34141498 \h </w:instrText>
          </w:r>
          <w:r>
            <w:rPr>
              <w:rFonts w:ascii="仿宋" w:hAnsi="仿宋" w:eastAsia="仿宋"/>
              <w:sz w:val="32"/>
              <w:szCs w:val="32"/>
            </w:rPr>
            <w:fldChar w:fldCharType="separate"/>
          </w:r>
          <w:r>
            <w:rPr>
              <w:rFonts w:ascii="仿宋" w:hAnsi="仿宋" w:eastAsia="仿宋"/>
              <w:sz w:val="32"/>
              <w:szCs w:val="32"/>
            </w:rPr>
            <w:t>242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"_Toc34141499" </w:instrText>
          </w:r>
          <w:r>
            <w:fldChar w:fldCharType="separate"/>
          </w:r>
          <w:r>
            <w:rPr>
              <w:rStyle w:val="222"/>
              <w:rFonts w:hint="eastAsia" w:ascii="仿宋" w:hAnsi="仿宋" w:eastAsia="仿宋" w:cs="Times New Roman"/>
              <w:kern w:val="0"/>
              <w:sz w:val="32"/>
              <w:szCs w:val="32"/>
            </w:rPr>
            <w:t>国家税务总局甘肃省税务局关于电子发票服务平台接入验证工作的公告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_Toc34141499 \h </w:instrText>
          </w:r>
          <w:r>
            <w:rPr>
              <w:rFonts w:ascii="仿宋" w:hAnsi="仿宋" w:eastAsia="仿宋"/>
              <w:sz w:val="32"/>
              <w:szCs w:val="32"/>
            </w:rPr>
            <w:fldChar w:fldCharType="separate"/>
          </w:r>
          <w:r>
            <w:rPr>
              <w:rFonts w:ascii="仿宋" w:hAnsi="仿宋" w:eastAsia="仿宋"/>
              <w:sz w:val="32"/>
              <w:szCs w:val="32"/>
            </w:rPr>
            <w:t>242</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"_Toc34141500" </w:instrText>
          </w:r>
          <w:r>
            <w:fldChar w:fldCharType="separate"/>
          </w:r>
          <w:r>
            <w:rPr>
              <w:rStyle w:val="222"/>
              <w:rFonts w:hint="eastAsia" w:ascii="仿宋" w:hAnsi="仿宋" w:eastAsia="仿宋" w:cs="Times New Roman"/>
              <w:kern w:val="0"/>
              <w:sz w:val="32"/>
              <w:szCs w:val="32"/>
            </w:rPr>
            <w:t>国家税务总局甘肃省税务局关于启动</w:t>
          </w:r>
          <w:r>
            <w:rPr>
              <w:rStyle w:val="222"/>
              <w:rFonts w:ascii="仿宋" w:hAnsi="仿宋" w:eastAsia="仿宋" w:cs="Times New Roman"/>
              <w:kern w:val="0"/>
              <w:sz w:val="32"/>
              <w:szCs w:val="32"/>
            </w:rPr>
            <w:t>2019</w:t>
          </w:r>
          <w:r>
            <w:rPr>
              <w:rStyle w:val="222"/>
              <w:rFonts w:hint="eastAsia" w:ascii="仿宋" w:hAnsi="仿宋" w:eastAsia="仿宋" w:cs="Times New Roman"/>
              <w:kern w:val="0"/>
              <w:sz w:val="32"/>
              <w:szCs w:val="32"/>
            </w:rPr>
            <w:t>年度企业所得税汇缴网上申报工作的温馨提示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_Toc34141500 \h </w:instrText>
          </w:r>
          <w:r>
            <w:rPr>
              <w:rFonts w:ascii="仿宋" w:hAnsi="仿宋" w:eastAsia="仿宋"/>
              <w:sz w:val="32"/>
              <w:szCs w:val="32"/>
            </w:rPr>
            <w:fldChar w:fldCharType="separate"/>
          </w:r>
          <w:r>
            <w:rPr>
              <w:rFonts w:ascii="仿宋" w:hAnsi="仿宋" w:eastAsia="仿宋"/>
              <w:sz w:val="32"/>
              <w:szCs w:val="32"/>
            </w:rPr>
            <w:t>245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"_Toc34141501" </w:instrText>
          </w:r>
          <w:r>
            <w:fldChar w:fldCharType="separate"/>
          </w:r>
          <w:r>
            <w:rPr>
              <w:rStyle w:val="222"/>
              <w:rFonts w:hint="eastAsia" w:ascii="仿宋" w:hAnsi="仿宋" w:eastAsia="仿宋" w:cs="Times New Roman"/>
              <w:kern w:val="0"/>
              <w:sz w:val="32"/>
              <w:szCs w:val="32"/>
            </w:rPr>
            <w:t>甘肃省新型冠状病毒肺炎疫情联防联控领导小组办公室印发《关于支持打赢新冠肺炎疫情防控阻击战的若干措施》的通知</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（甘疫防办发〔</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18</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_Toc34141501 \h </w:instrText>
          </w:r>
          <w:r>
            <w:rPr>
              <w:rFonts w:ascii="仿宋" w:hAnsi="仿宋" w:eastAsia="仿宋"/>
              <w:sz w:val="32"/>
              <w:szCs w:val="32"/>
            </w:rPr>
            <w:fldChar w:fldCharType="separate"/>
          </w:r>
          <w:r>
            <w:rPr>
              <w:rFonts w:ascii="仿宋" w:hAnsi="仿宋" w:eastAsia="仿宋"/>
              <w:sz w:val="32"/>
              <w:szCs w:val="32"/>
            </w:rPr>
            <w:t>254</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ind w:left="850" w:leftChars="405"/>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"_Toc34141502" </w:instrText>
          </w:r>
          <w:r>
            <w:fldChar w:fldCharType="separate"/>
          </w:r>
          <w:r>
            <w:rPr>
              <w:rStyle w:val="222"/>
              <w:rFonts w:hint="eastAsia" w:ascii="仿宋" w:hAnsi="仿宋" w:eastAsia="仿宋" w:cs="宋体"/>
              <w:bCs/>
              <w:kern w:val="36"/>
              <w:sz w:val="32"/>
              <w:szCs w:val="32"/>
            </w:rPr>
            <w:t>国家税务总局甘肃省税务局关于做好支持企业复工复产工作的通知</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_Toc34141502 \h </w:instrText>
          </w:r>
          <w:r>
            <w:rPr>
              <w:rFonts w:ascii="仿宋" w:hAnsi="仿宋" w:eastAsia="仿宋"/>
              <w:sz w:val="32"/>
              <w:szCs w:val="32"/>
            </w:rPr>
            <w:fldChar w:fldCharType="separate"/>
          </w:r>
          <w:r>
            <w:rPr>
              <w:rFonts w:ascii="仿宋" w:hAnsi="仿宋" w:eastAsia="仿宋"/>
              <w:sz w:val="32"/>
              <w:szCs w:val="32"/>
            </w:rPr>
            <w:t>263</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"_Toc34141503" </w:instrText>
          </w:r>
          <w:r>
            <w:fldChar w:fldCharType="separate"/>
          </w:r>
          <w:r>
            <w:rPr>
              <w:rStyle w:val="222"/>
              <w:rFonts w:hint="eastAsia" w:ascii="仿宋" w:hAnsi="仿宋" w:eastAsia="仿宋"/>
              <w:sz w:val="32"/>
              <w:szCs w:val="32"/>
            </w:rPr>
            <w:t>（二十七）青海省（无更新）</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_Toc34141503 \h </w:instrText>
          </w:r>
          <w:r>
            <w:rPr>
              <w:rFonts w:ascii="仿宋" w:hAnsi="仿宋" w:eastAsia="仿宋"/>
              <w:sz w:val="32"/>
              <w:szCs w:val="32"/>
            </w:rPr>
            <w:fldChar w:fldCharType="separate"/>
          </w:r>
          <w:r>
            <w:rPr>
              <w:rFonts w:ascii="仿宋" w:hAnsi="仿宋" w:eastAsia="仿宋"/>
              <w:sz w:val="32"/>
              <w:szCs w:val="32"/>
            </w:rPr>
            <w:t>270</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"_Toc34141505" </w:instrText>
          </w:r>
          <w:r>
            <w:fldChar w:fldCharType="separate"/>
          </w:r>
          <w:r>
            <w:rPr>
              <w:rStyle w:val="222"/>
              <w:rFonts w:hint="eastAsia" w:ascii="仿宋" w:hAnsi="仿宋" w:eastAsia="仿宋"/>
              <w:sz w:val="32"/>
              <w:szCs w:val="32"/>
            </w:rPr>
            <w:t>（二十八）宁夏回族自治区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_Toc34141505 \h </w:instrText>
          </w:r>
          <w:r>
            <w:rPr>
              <w:rFonts w:ascii="仿宋" w:hAnsi="仿宋" w:eastAsia="仿宋"/>
              <w:sz w:val="32"/>
              <w:szCs w:val="32"/>
            </w:rPr>
            <w:fldChar w:fldCharType="separate"/>
          </w:r>
          <w:r>
            <w:rPr>
              <w:rFonts w:ascii="仿宋" w:hAnsi="仿宋" w:eastAsia="仿宋"/>
              <w:sz w:val="32"/>
              <w:szCs w:val="32"/>
            </w:rPr>
            <w:t>271</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"_Toc34141506" </w:instrText>
          </w:r>
          <w:r>
            <w:fldChar w:fldCharType="separate"/>
          </w:r>
          <w:r>
            <w:rPr>
              <w:rStyle w:val="222"/>
              <w:rFonts w:hint="eastAsia" w:ascii="仿宋" w:hAnsi="仿宋" w:eastAsia="仿宋" w:cs="Times New Roman"/>
              <w:kern w:val="0"/>
              <w:sz w:val="32"/>
              <w:szCs w:val="32"/>
            </w:rPr>
            <w:t>国家税务总局宁夏回族自治区税务局关于进一步延长</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年</w:t>
          </w:r>
          <w:r>
            <w:rPr>
              <w:rStyle w:val="222"/>
              <w:rFonts w:ascii="仿宋" w:hAnsi="仿宋" w:eastAsia="仿宋" w:cs="Times New Roman"/>
              <w:kern w:val="0"/>
              <w:sz w:val="32"/>
              <w:szCs w:val="32"/>
            </w:rPr>
            <w:t>2</w:t>
          </w:r>
          <w:r>
            <w:rPr>
              <w:rStyle w:val="222"/>
              <w:rFonts w:hint="eastAsia" w:ascii="仿宋" w:hAnsi="仿宋" w:eastAsia="仿宋" w:cs="Times New Roman"/>
              <w:kern w:val="0"/>
              <w:sz w:val="32"/>
              <w:szCs w:val="32"/>
            </w:rPr>
            <w:t>月份纳税申报期限有关事项的通告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_Toc34141506 \h </w:instrText>
          </w:r>
          <w:r>
            <w:rPr>
              <w:rFonts w:ascii="仿宋" w:hAnsi="仿宋" w:eastAsia="仿宋"/>
              <w:sz w:val="32"/>
              <w:szCs w:val="32"/>
            </w:rPr>
            <w:fldChar w:fldCharType="separate"/>
          </w:r>
          <w:r>
            <w:rPr>
              <w:rFonts w:ascii="仿宋" w:hAnsi="仿宋" w:eastAsia="仿宋"/>
              <w:sz w:val="32"/>
              <w:szCs w:val="32"/>
            </w:rPr>
            <w:t>271</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ind w:left="850" w:leftChars="405"/>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"_Toc34141507" </w:instrText>
          </w:r>
          <w:r>
            <w:fldChar w:fldCharType="separate"/>
          </w:r>
          <w:r>
            <w:rPr>
              <w:rStyle w:val="222"/>
              <w:rFonts w:hint="eastAsia" w:ascii="仿宋" w:hAnsi="仿宋" w:eastAsia="仿宋" w:cs="宋体"/>
              <w:bCs/>
              <w:kern w:val="0"/>
              <w:sz w:val="32"/>
              <w:szCs w:val="32"/>
            </w:rPr>
            <w:t>国家税务总局宁夏回族自治区税务局</w:t>
          </w:r>
          <w:r>
            <w:rPr>
              <w:rStyle w:val="222"/>
              <w:rFonts w:ascii="仿宋" w:hAnsi="仿宋" w:eastAsia="仿宋" w:cs="宋体"/>
              <w:bCs/>
              <w:kern w:val="0"/>
              <w:sz w:val="32"/>
              <w:szCs w:val="32"/>
            </w:rPr>
            <w:t xml:space="preserve"> </w:t>
          </w:r>
          <w:r>
            <w:rPr>
              <w:rStyle w:val="222"/>
              <w:rFonts w:hint="eastAsia" w:ascii="仿宋" w:hAnsi="仿宋" w:eastAsia="仿宋" w:cs="宋体"/>
              <w:bCs/>
              <w:kern w:val="0"/>
              <w:sz w:val="32"/>
              <w:szCs w:val="32"/>
            </w:rPr>
            <w:t>宁夏回族自治区人力资源和社会保障厅关于新冠肺炎疫情防控期间缓缴社会保险费有关事项的通告</w:t>
          </w:r>
          <w:r>
            <w:rPr>
              <w:rStyle w:val="222"/>
              <w:rFonts w:ascii="仿宋" w:hAnsi="仿宋" w:eastAsia="仿宋" w:cs="宋体"/>
              <w:bCs/>
              <w:kern w:val="0"/>
              <w:sz w:val="32"/>
              <w:szCs w:val="32"/>
            </w:rPr>
            <w:t xml:space="preserve"> </w:t>
          </w:r>
          <w:r>
            <w:rPr>
              <w:rStyle w:val="222"/>
              <w:rFonts w:hint="eastAsia" w:ascii="仿宋" w:hAnsi="仿宋" w:eastAsia="仿宋" w:cs="宋体"/>
              <w:bCs/>
              <w:kern w:val="0"/>
              <w:sz w:val="32"/>
              <w:szCs w:val="32"/>
            </w:rPr>
            <w:t>（</w:t>
          </w:r>
          <w:r>
            <w:rPr>
              <w:rStyle w:val="222"/>
              <w:rFonts w:ascii="仿宋" w:hAnsi="仿宋" w:eastAsia="仿宋" w:cs="宋体"/>
              <w:kern w:val="0"/>
              <w:sz w:val="32"/>
              <w:szCs w:val="32"/>
            </w:rPr>
            <w:t>2020</w:t>
          </w:r>
          <w:r>
            <w:rPr>
              <w:rStyle w:val="222"/>
              <w:rFonts w:hint="eastAsia" w:ascii="仿宋" w:hAnsi="仿宋" w:eastAsia="仿宋" w:cs="宋体"/>
              <w:kern w:val="0"/>
              <w:sz w:val="32"/>
              <w:szCs w:val="32"/>
            </w:rPr>
            <w:t>年第</w:t>
          </w:r>
          <w:r>
            <w:rPr>
              <w:rStyle w:val="222"/>
              <w:rFonts w:ascii="仿宋" w:hAnsi="仿宋" w:eastAsia="仿宋" w:cs="宋体"/>
              <w:kern w:val="0"/>
              <w:sz w:val="32"/>
              <w:szCs w:val="32"/>
            </w:rPr>
            <w:t>4</w:t>
          </w:r>
          <w:r>
            <w:rPr>
              <w:rStyle w:val="222"/>
              <w:rFonts w:hint="eastAsia" w:ascii="仿宋" w:hAnsi="仿宋" w:eastAsia="仿宋" w:cs="宋体"/>
              <w:kern w:val="0"/>
              <w:sz w:val="32"/>
              <w:szCs w:val="32"/>
            </w:rPr>
            <w:t>号</w:t>
          </w:r>
          <w:r>
            <w:rPr>
              <w:rStyle w:val="222"/>
              <w:rFonts w:hint="eastAsia" w:ascii="仿宋" w:hAnsi="仿宋" w:eastAsia="仿宋" w:cs="宋体"/>
              <w:bCs/>
              <w:kern w:val="0"/>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_Toc34141507 \h </w:instrText>
          </w:r>
          <w:r>
            <w:rPr>
              <w:rFonts w:ascii="仿宋" w:hAnsi="仿宋" w:eastAsia="仿宋"/>
              <w:sz w:val="32"/>
              <w:szCs w:val="32"/>
            </w:rPr>
            <w:fldChar w:fldCharType="separate"/>
          </w:r>
          <w:r>
            <w:rPr>
              <w:rFonts w:ascii="仿宋" w:hAnsi="仿宋" w:eastAsia="仿宋"/>
              <w:sz w:val="32"/>
              <w:szCs w:val="32"/>
            </w:rPr>
            <w:t>272</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"_Toc34141508" </w:instrText>
          </w:r>
          <w:r>
            <w:fldChar w:fldCharType="separate"/>
          </w:r>
          <w:r>
            <w:rPr>
              <w:rStyle w:val="222"/>
              <w:rFonts w:hint="eastAsia" w:ascii="仿宋" w:hAnsi="仿宋" w:eastAsia="仿宋"/>
              <w:sz w:val="32"/>
              <w:szCs w:val="32"/>
            </w:rPr>
            <w:t>（二十九）新疆维吾尔自治区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_Toc34141508 \h </w:instrText>
          </w:r>
          <w:r>
            <w:rPr>
              <w:rFonts w:ascii="仿宋" w:hAnsi="仿宋" w:eastAsia="仿宋"/>
              <w:sz w:val="32"/>
              <w:szCs w:val="32"/>
            </w:rPr>
            <w:fldChar w:fldCharType="separate"/>
          </w:r>
          <w:r>
            <w:rPr>
              <w:rFonts w:ascii="仿宋" w:hAnsi="仿宋" w:eastAsia="仿宋"/>
              <w:sz w:val="32"/>
              <w:szCs w:val="32"/>
            </w:rPr>
            <w:t>274</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"_Toc34141509" </w:instrText>
          </w:r>
          <w:r>
            <w:fldChar w:fldCharType="separate"/>
          </w:r>
          <w:r>
            <w:rPr>
              <w:rStyle w:val="222"/>
              <w:rFonts w:hint="eastAsia" w:ascii="仿宋" w:hAnsi="仿宋" w:eastAsia="仿宋" w:cs="Times New Roman"/>
              <w:kern w:val="0"/>
              <w:sz w:val="32"/>
              <w:szCs w:val="32"/>
            </w:rPr>
            <w:t>国家税务总局新疆维吾尔自治区税务局关于发布“非接触式”网上办税缴费事项</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清单的通告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_Toc34141509 \h </w:instrText>
          </w:r>
          <w:r>
            <w:rPr>
              <w:rFonts w:ascii="仿宋" w:hAnsi="仿宋" w:eastAsia="仿宋"/>
              <w:sz w:val="32"/>
              <w:szCs w:val="32"/>
            </w:rPr>
            <w:fldChar w:fldCharType="separate"/>
          </w:r>
          <w:r>
            <w:rPr>
              <w:rFonts w:ascii="仿宋" w:hAnsi="仿宋" w:eastAsia="仿宋"/>
              <w:sz w:val="32"/>
              <w:szCs w:val="32"/>
            </w:rPr>
            <w:t>274</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"_Toc34141510" </w:instrText>
          </w:r>
          <w:r>
            <w:fldChar w:fldCharType="separate"/>
          </w:r>
          <w:r>
            <w:rPr>
              <w:rStyle w:val="222"/>
              <w:rFonts w:hint="eastAsia" w:ascii="仿宋" w:hAnsi="仿宋" w:eastAsia="仿宋" w:cs="Times New Roman"/>
              <w:kern w:val="0"/>
              <w:sz w:val="32"/>
              <w:szCs w:val="32"/>
            </w:rPr>
            <w:t>国家税务总局新疆维吾尔自治区税务局关于电子发票服务平台接入验证工作的公告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_Toc34141510 \h </w:instrText>
          </w:r>
          <w:r>
            <w:rPr>
              <w:rFonts w:ascii="仿宋" w:hAnsi="仿宋" w:eastAsia="仿宋"/>
              <w:sz w:val="32"/>
              <w:szCs w:val="32"/>
            </w:rPr>
            <w:fldChar w:fldCharType="separate"/>
          </w:r>
          <w:r>
            <w:rPr>
              <w:rFonts w:ascii="仿宋" w:hAnsi="仿宋" w:eastAsia="仿宋"/>
              <w:sz w:val="32"/>
              <w:szCs w:val="32"/>
            </w:rPr>
            <w:t>275</w:t>
          </w:r>
          <w:r>
            <w:rPr>
              <w:rFonts w:ascii="仿宋" w:hAnsi="仿宋" w:eastAsia="仿宋"/>
              <w:sz w:val="32"/>
              <w:szCs w:val="32"/>
            </w:rPr>
            <w:fldChar w:fldCharType="end"/>
          </w:r>
          <w:r>
            <w:rPr>
              <w:rFonts w:ascii="仿宋" w:hAnsi="仿宋" w:eastAsia="仿宋"/>
              <w:sz w:val="32"/>
              <w:szCs w:val="32"/>
            </w:rPr>
            <w:fldChar w:fldCharType="end"/>
          </w:r>
        </w:p>
        <w:p>
          <w:pPr>
            <w:pStyle w:val="74"/>
            <w:tabs>
              <w:tab w:val="right" w:leader="dot" w:pos="8891"/>
            </w:tabs>
            <w:rPr>
              <w:rFonts w:ascii="仿宋" w:hAnsi="仿宋" w:eastAsia="仿宋"/>
              <w:sz w:val="32"/>
              <w:szCs w:val="32"/>
            </w:rPr>
          </w:pPr>
          <w:r>
            <w:fldChar w:fldCharType="begin"/>
          </w:r>
          <w:r>
            <w:instrText xml:space="preserve"> HYPERLINK \l "_Toc34141511" </w:instrText>
          </w:r>
          <w:r>
            <w:fldChar w:fldCharType="separate"/>
          </w:r>
          <w:r>
            <w:rPr>
              <w:rStyle w:val="222"/>
              <w:rFonts w:hint="eastAsia" w:ascii="仿宋" w:hAnsi="仿宋" w:eastAsia="仿宋"/>
              <w:sz w:val="32"/>
              <w:szCs w:val="32"/>
            </w:rPr>
            <w:t>（三十）陕西省</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_Toc34141511 \h </w:instrText>
          </w:r>
          <w:r>
            <w:rPr>
              <w:rFonts w:ascii="仿宋" w:hAnsi="仿宋" w:eastAsia="仿宋"/>
              <w:sz w:val="32"/>
              <w:szCs w:val="32"/>
            </w:rPr>
            <w:fldChar w:fldCharType="separate"/>
          </w:r>
          <w:r>
            <w:rPr>
              <w:rFonts w:ascii="仿宋" w:hAnsi="仿宋" w:eastAsia="仿宋"/>
              <w:sz w:val="32"/>
              <w:szCs w:val="32"/>
            </w:rPr>
            <w:t>278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"_Toc34141512" </w:instrText>
          </w:r>
          <w:r>
            <w:fldChar w:fldCharType="separate"/>
          </w:r>
          <w:r>
            <w:rPr>
              <w:rStyle w:val="222"/>
              <w:rFonts w:hint="eastAsia" w:ascii="仿宋" w:hAnsi="仿宋" w:eastAsia="仿宋" w:cs="Times New Roman"/>
              <w:kern w:val="0"/>
              <w:sz w:val="32"/>
              <w:szCs w:val="32"/>
            </w:rPr>
            <w:t>国家税务总局陕西省税务局关于</w:t>
          </w:r>
          <w:r>
            <w:rPr>
              <w:rStyle w:val="222"/>
              <w:rFonts w:ascii="仿宋" w:hAnsi="仿宋" w:eastAsia="仿宋" w:cs="Times New Roman"/>
              <w:kern w:val="0"/>
              <w:sz w:val="32"/>
              <w:szCs w:val="32"/>
            </w:rPr>
            <w:t>2019</w:t>
          </w:r>
          <w:r>
            <w:rPr>
              <w:rStyle w:val="222"/>
              <w:rFonts w:hint="eastAsia" w:ascii="仿宋" w:hAnsi="仿宋" w:eastAsia="仿宋" w:cs="Times New Roman"/>
              <w:kern w:val="0"/>
              <w:sz w:val="32"/>
              <w:szCs w:val="32"/>
            </w:rPr>
            <w:t>年度企业所得税汇算清缴有关事项的提示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_Toc34141512 \h </w:instrText>
          </w:r>
          <w:r>
            <w:rPr>
              <w:rFonts w:ascii="仿宋" w:hAnsi="仿宋" w:eastAsia="仿宋"/>
              <w:sz w:val="32"/>
              <w:szCs w:val="32"/>
            </w:rPr>
            <w:fldChar w:fldCharType="separate"/>
          </w:r>
          <w:r>
            <w:rPr>
              <w:rFonts w:ascii="仿宋" w:hAnsi="仿宋" w:eastAsia="仿宋"/>
              <w:sz w:val="32"/>
              <w:szCs w:val="32"/>
            </w:rPr>
            <w:t>278</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"_Toc34141513" </w:instrText>
          </w:r>
          <w:r>
            <w:fldChar w:fldCharType="separate"/>
          </w:r>
          <w:r>
            <w:rPr>
              <w:rStyle w:val="222"/>
              <w:rFonts w:hint="eastAsia" w:ascii="仿宋" w:hAnsi="仿宋" w:eastAsia="仿宋"/>
              <w:sz w:val="32"/>
              <w:szCs w:val="32"/>
            </w:rPr>
            <w:t>国家税务总局陕西省税务局关于全力打赢疫情防控阻击战税费政策措施的贯彻落实意见</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（陕税发〔</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12</w:t>
          </w:r>
          <w:r>
            <w:rPr>
              <w:rStyle w:val="222"/>
              <w:rFonts w:hint="eastAsia" w:ascii="仿宋" w:hAnsi="仿宋" w:eastAsia="仿宋" w:cs="Times New Roman"/>
              <w:kern w:val="0"/>
              <w:sz w:val="32"/>
              <w:szCs w:val="32"/>
            </w:rPr>
            <w:t>号</w:t>
          </w:r>
          <w:r>
            <w:rPr>
              <w:rStyle w:val="222"/>
              <w:rFonts w:ascii="仿宋" w:hAnsi="仿宋" w:eastAsia="仿宋" w:cs="Times New Roman"/>
              <w:kern w:val="0"/>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_Toc34141513 \h </w:instrText>
          </w:r>
          <w:r>
            <w:rPr>
              <w:rFonts w:ascii="仿宋" w:hAnsi="仿宋" w:eastAsia="仿宋"/>
              <w:sz w:val="32"/>
              <w:szCs w:val="32"/>
            </w:rPr>
            <w:fldChar w:fldCharType="separate"/>
          </w:r>
          <w:r>
            <w:rPr>
              <w:rFonts w:ascii="仿宋" w:hAnsi="仿宋" w:eastAsia="仿宋"/>
              <w:sz w:val="32"/>
              <w:szCs w:val="32"/>
            </w:rPr>
            <w:t>285</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"_Toc34141514" </w:instrText>
          </w:r>
          <w:r>
            <w:fldChar w:fldCharType="separate"/>
          </w:r>
          <w:r>
            <w:rPr>
              <w:rStyle w:val="222"/>
              <w:rFonts w:hint="eastAsia" w:ascii="仿宋" w:hAnsi="仿宋" w:eastAsia="仿宋"/>
              <w:sz w:val="32"/>
              <w:szCs w:val="32"/>
            </w:rPr>
            <w:t>国家税务总局陕西省税务局关于电子发票服务平台接入验证工作的公告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_Toc34141514 \h </w:instrText>
          </w:r>
          <w:r>
            <w:rPr>
              <w:rFonts w:ascii="仿宋" w:hAnsi="仿宋" w:eastAsia="仿宋"/>
              <w:sz w:val="32"/>
              <w:szCs w:val="32"/>
            </w:rPr>
            <w:fldChar w:fldCharType="separate"/>
          </w:r>
          <w:r>
            <w:rPr>
              <w:rFonts w:ascii="仿宋" w:hAnsi="仿宋" w:eastAsia="仿宋"/>
              <w:sz w:val="32"/>
              <w:szCs w:val="32"/>
            </w:rPr>
            <w:t>296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4.</w:t>
          </w:r>
          <w:r>
            <w:fldChar w:fldCharType="begin"/>
          </w:r>
          <w:r>
            <w:instrText xml:space="preserve"> HYPERLINK \l "_Toc34141515" </w:instrText>
          </w:r>
          <w:r>
            <w:fldChar w:fldCharType="separate"/>
          </w:r>
          <w:r>
            <w:rPr>
              <w:rStyle w:val="222"/>
              <w:rFonts w:hint="eastAsia" w:ascii="仿宋" w:hAnsi="仿宋" w:eastAsia="仿宋"/>
              <w:sz w:val="32"/>
              <w:szCs w:val="32"/>
            </w:rPr>
            <w:t>陕西省人民政府办公厅关于印发应对新冠肺炎疫情支持中小微企业稳定健康发展若干措施的通知</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（陕政办发</w:t>
          </w:r>
          <w:r>
            <w:rPr>
              <w:rStyle w:val="222"/>
              <w:rFonts w:ascii="仿宋" w:hAnsi="仿宋" w:eastAsia="仿宋" w:cs="Times New Roman"/>
              <w:kern w:val="0"/>
              <w:sz w:val="32"/>
              <w:szCs w:val="32"/>
            </w:rPr>
            <w:t>[2020]4</w:t>
          </w:r>
          <w:r>
            <w:rPr>
              <w:rStyle w:val="222"/>
              <w:rFonts w:hint="eastAsia" w:ascii="仿宋" w:hAnsi="仿宋" w:eastAsia="仿宋" w:cs="Times New Roman"/>
              <w:kern w:val="0"/>
              <w:sz w:val="32"/>
              <w:szCs w:val="32"/>
            </w:rPr>
            <w:t>号</w:t>
          </w:r>
          <w:r>
            <w:rPr>
              <w:rStyle w:val="222"/>
              <w:rFonts w:ascii="仿宋" w:hAnsi="仿宋" w:eastAsia="仿宋" w:cs="Times New Roman"/>
              <w:kern w:val="0"/>
              <w:sz w:val="32"/>
              <w:szCs w:val="32"/>
            </w:rPr>
            <w:t>)</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_Toc34141515 \h </w:instrText>
          </w:r>
          <w:r>
            <w:rPr>
              <w:rFonts w:ascii="仿宋" w:hAnsi="仿宋" w:eastAsia="仿宋"/>
              <w:sz w:val="32"/>
              <w:szCs w:val="32"/>
            </w:rPr>
            <w:fldChar w:fldCharType="separate"/>
          </w:r>
          <w:r>
            <w:rPr>
              <w:rFonts w:ascii="仿宋" w:hAnsi="仿宋" w:eastAsia="仿宋"/>
              <w:sz w:val="32"/>
              <w:szCs w:val="32"/>
            </w:rPr>
            <w:t>299</w:t>
          </w:r>
          <w:r>
            <w:rPr>
              <w:rFonts w:ascii="仿宋" w:hAnsi="仿宋" w:eastAsia="仿宋"/>
              <w:sz w:val="32"/>
              <w:szCs w:val="32"/>
            </w:rPr>
            <w:fldChar w:fldCharType="end"/>
          </w:r>
          <w:r>
            <w:rPr>
              <w:rFonts w:ascii="仿宋" w:hAnsi="仿宋" w:eastAsia="仿宋"/>
              <w:sz w:val="32"/>
              <w:szCs w:val="32"/>
            </w:rPr>
            <w:fldChar w:fldCharType="end"/>
          </w:r>
          <w:r>
            <w:rPr>
              <w:rFonts w:ascii="仿宋" w:hAnsi="仿宋" w:eastAsia="仿宋"/>
              <w:sz w:val="32"/>
              <w:szCs w:val="32"/>
            </w:rPr>
            <w:t xml:space="preserve"> </w:t>
          </w:r>
        </w:p>
        <w:p>
          <w:pPr>
            <w:pStyle w:val="74"/>
            <w:tabs>
              <w:tab w:val="right" w:leader="dot" w:pos="8891"/>
            </w:tabs>
            <w:rPr>
              <w:rFonts w:ascii="仿宋" w:hAnsi="仿宋" w:eastAsia="仿宋"/>
              <w:sz w:val="32"/>
              <w:szCs w:val="32"/>
            </w:rPr>
          </w:pPr>
          <w:r>
            <w:fldChar w:fldCharType="begin"/>
          </w:r>
          <w:r>
            <w:instrText xml:space="preserve"> HYPERLINK \l "_Toc34141523" </w:instrText>
          </w:r>
          <w:r>
            <w:fldChar w:fldCharType="separate"/>
          </w:r>
          <w:r>
            <w:rPr>
              <w:rStyle w:val="222"/>
              <w:rFonts w:hint="eastAsia" w:ascii="仿宋" w:hAnsi="仿宋" w:eastAsia="仿宋"/>
              <w:sz w:val="32"/>
              <w:szCs w:val="32"/>
            </w:rPr>
            <w:t>（三十一）西藏自治区</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_Toc34141523 \h </w:instrText>
          </w:r>
          <w:r>
            <w:rPr>
              <w:rFonts w:ascii="仿宋" w:hAnsi="仿宋" w:eastAsia="仿宋"/>
              <w:sz w:val="32"/>
              <w:szCs w:val="32"/>
            </w:rPr>
            <w:fldChar w:fldCharType="separate"/>
          </w:r>
          <w:r>
            <w:rPr>
              <w:rFonts w:ascii="仿宋" w:hAnsi="仿宋" w:eastAsia="仿宋"/>
              <w:sz w:val="32"/>
              <w:szCs w:val="32"/>
            </w:rPr>
            <w:t>306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1.</w:t>
          </w:r>
          <w:r>
            <w:fldChar w:fldCharType="begin"/>
          </w:r>
          <w:r>
            <w:instrText xml:space="preserve"> HYPERLINK \l "_Toc34141524" </w:instrText>
          </w:r>
          <w:r>
            <w:fldChar w:fldCharType="separate"/>
          </w:r>
          <w:r>
            <w:rPr>
              <w:rStyle w:val="222"/>
              <w:rFonts w:hint="eastAsia" w:ascii="仿宋" w:hAnsi="仿宋" w:eastAsia="仿宋" w:cs="Times New Roman"/>
              <w:kern w:val="0"/>
              <w:sz w:val="32"/>
              <w:szCs w:val="32"/>
            </w:rPr>
            <w:t>国家税务总局西藏自治区税务局关于电子发票服务平台接入验证工作的公告</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_Toc34141524 \h </w:instrText>
          </w:r>
          <w:r>
            <w:rPr>
              <w:rFonts w:ascii="仿宋" w:hAnsi="仿宋" w:eastAsia="仿宋"/>
              <w:sz w:val="32"/>
              <w:szCs w:val="32"/>
            </w:rPr>
            <w:fldChar w:fldCharType="separate"/>
          </w:r>
          <w:r>
            <w:rPr>
              <w:rFonts w:ascii="仿宋" w:hAnsi="仿宋" w:eastAsia="仿宋"/>
              <w:sz w:val="32"/>
              <w:szCs w:val="32"/>
            </w:rPr>
            <w:t>306</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2.</w:t>
          </w:r>
          <w:r>
            <w:fldChar w:fldCharType="begin"/>
          </w:r>
          <w:r>
            <w:instrText xml:space="preserve"> HYPERLINK \l "_Toc34141525" </w:instrText>
          </w:r>
          <w:r>
            <w:fldChar w:fldCharType="separate"/>
          </w:r>
          <w:r>
            <w:rPr>
              <w:rStyle w:val="222"/>
              <w:rFonts w:hint="eastAsia" w:ascii="仿宋" w:hAnsi="仿宋" w:eastAsia="仿宋" w:cs="Times New Roman"/>
              <w:kern w:val="0"/>
              <w:sz w:val="32"/>
              <w:szCs w:val="32"/>
            </w:rPr>
            <w:t>国家税务总局西藏自治区税务局关于充分发挥税收职能作用、全力支持疫情防控工作的通知</w:t>
          </w:r>
          <w:r>
            <w:rPr>
              <w:rStyle w:val="222"/>
              <w:rFonts w:ascii="仿宋" w:hAnsi="仿宋" w:eastAsia="仿宋"/>
              <w:sz w:val="32"/>
              <w:szCs w:val="32"/>
            </w:rPr>
            <w:t xml:space="preserve"> </w:t>
          </w:r>
          <w:r>
            <w:rPr>
              <w:rStyle w:val="222"/>
              <w:rFonts w:hint="eastAsia" w:ascii="仿宋" w:hAnsi="仿宋" w:eastAsia="仿宋" w:cs="Times New Roman"/>
              <w:kern w:val="0"/>
              <w:sz w:val="32"/>
              <w:szCs w:val="32"/>
            </w:rPr>
            <w:t>（藏税发〔</w:t>
          </w:r>
          <w:r>
            <w:rPr>
              <w:rStyle w:val="222"/>
              <w:rFonts w:ascii="仿宋" w:hAnsi="仿宋" w:eastAsia="仿宋" w:cs="Times New Roman"/>
              <w:kern w:val="0"/>
              <w:sz w:val="32"/>
              <w:szCs w:val="32"/>
            </w:rPr>
            <w:t>2020</w:t>
          </w:r>
          <w:r>
            <w:rPr>
              <w:rStyle w:val="222"/>
              <w:rFonts w:hint="eastAsia" w:ascii="仿宋" w:hAnsi="仿宋" w:eastAsia="仿宋" w:cs="Times New Roman"/>
              <w:kern w:val="0"/>
              <w:sz w:val="32"/>
              <w:szCs w:val="32"/>
            </w:rPr>
            <w:t>〕</w:t>
          </w:r>
          <w:r>
            <w:rPr>
              <w:rStyle w:val="222"/>
              <w:rFonts w:ascii="仿宋" w:hAnsi="仿宋" w:eastAsia="仿宋" w:cs="Times New Roman"/>
              <w:kern w:val="0"/>
              <w:sz w:val="32"/>
              <w:szCs w:val="32"/>
            </w:rPr>
            <w:t>5</w:t>
          </w:r>
          <w:r>
            <w:rPr>
              <w:rStyle w:val="222"/>
              <w:rFonts w:hint="eastAsia" w:ascii="仿宋" w:hAnsi="仿宋" w:eastAsia="仿宋" w:cs="Times New Roman"/>
              <w:kern w:val="0"/>
              <w:sz w:val="32"/>
              <w:szCs w:val="32"/>
            </w:rPr>
            <w:t>号）</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_Toc34141525 \h </w:instrText>
          </w:r>
          <w:r>
            <w:rPr>
              <w:rFonts w:ascii="仿宋" w:hAnsi="仿宋" w:eastAsia="仿宋"/>
              <w:sz w:val="32"/>
              <w:szCs w:val="32"/>
            </w:rPr>
            <w:fldChar w:fldCharType="separate"/>
          </w:r>
          <w:r>
            <w:rPr>
              <w:rFonts w:ascii="仿宋" w:hAnsi="仿宋" w:eastAsia="仿宋"/>
              <w:sz w:val="32"/>
              <w:szCs w:val="32"/>
            </w:rPr>
            <w:t>309</w:t>
          </w:r>
          <w:r>
            <w:rPr>
              <w:rFonts w:ascii="仿宋" w:hAnsi="仿宋" w:eastAsia="仿宋"/>
              <w:sz w:val="32"/>
              <w:szCs w:val="32"/>
            </w:rPr>
            <w:fldChar w:fldCharType="end"/>
          </w:r>
          <w:r>
            <w:rPr>
              <w:rFonts w:ascii="仿宋" w:hAnsi="仿宋" w:eastAsia="仿宋"/>
              <w:sz w:val="32"/>
              <w:szCs w:val="32"/>
            </w:rPr>
            <w:fldChar w:fldCharType="end"/>
          </w:r>
        </w:p>
        <w:p>
          <w:pPr>
            <w:pStyle w:val="44"/>
            <w:tabs>
              <w:tab w:val="right" w:leader="dot" w:pos="8891"/>
            </w:tabs>
            <w:rPr>
              <w:rFonts w:ascii="仿宋" w:hAnsi="仿宋" w:eastAsia="仿宋"/>
              <w:sz w:val="32"/>
              <w:szCs w:val="32"/>
            </w:rPr>
          </w:pPr>
          <w:r>
            <w:rPr>
              <w:rStyle w:val="222"/>
              <w:rFonts w:ascii="仿宋" w:hAnsi="仿宋" w:eastAsia="仿宋"/>
              <w:color w:val="auto"/>
              <w:sz w:val="32"/>
              <w:szCs w:val="32"/>
              <w:u w:val="none"/>
            </w:rPr>
            <w:t>3.</w:t>
          </w:r>
          <w:r>
            <w:fldChar w:fldCharType="begin"/>
          </w:r>
          <w:r>
            <w:instrText xml:space="preserve"> HYPERLINK \l "_Toc34141526" </w:instrText>
          </w:r>
          <w:r>
            <w:fldChar w:fldCharType="separate"/>
          </w:r>
          <w:r>
            <w:rPr>
              <w:rStyle w:val="222"/>
              <w:rFonts w:hint="eastAsia" w:ascii="仿宋" w:hAnsi="仿宋" w:eastAsia="仿宋" w:cs="Times New Roman"/>
              <w:kern w:val="0"/>
              <w:sz w:val="32"/>
              <w:szCs w:val="32"/>
            </w:rPr>
            <w:t>国家税务总局西藏自治区税务局速查看！</w:t>
          </w:r>
          <w:r>
            <w:rPr>
              <w:rStyle w:val="222"/>
              <w:rFonts w:ascii="仿宋" w:hAnsi="仿宋" w:eastAsia="仿宋" w:cs="Times New Roman"/>
              <w:kern w:val="0"/>
              <w:sz w:val="32"/>
              <w:szCs w:val="32"/>
            </w:rPr>
            <w:t xml:space="preserve"> </w:t>
          </w:r>
          <w:r>
            <w:rPr>
              <w:rStyle w:val="222"/>
              <w:rFonts w:hint="eastAsia" w:ascii="仿宋" w:hAnsi="仿宋" w:eastAsia="仿宋" w:cs="Times New Roman"/>
              <w:kern w:val="0"/>
              <w:sz w:val="32"/>
              <w:szCs w:val="32"/>
            </w:rPr>
            <w:t>我区</w:t>
          </w:r>
          <w:r>
            <w:rPr>
              <w:rStyle w:val="222"/>
              <w:rFonts w:ascii="仿宋" w:hAnsi="仿宋" w:eastAsia="仿宋" w:cs="Times New Roman"/>
              <w:kern w:val="0"/>
              <w:sz w:val="32"/>
              <w:szCs w:val="32"/>
            </w:rPr>
            <w:t>“</w:t>
          </w:r>
          <w:r>
            <w:rPr>
              <w:rStyle w:val="222"/>
              <w:rFonts w:hint="eastAsia" w:ascii="仿宋" w:hAnsi="仿宋" w:eastAsia="仿宋" w:cs="Times New Roman"/>
              <w:kern w:val="0"/>
              <w:sz w:val="32"/>
              <w:szCs w:val="32"/>
            </w:rPr>
            <w:t>预约办税</w:t>
          </w:r>
          <w:r>
            <w:rPr>
              <w:rStyle w:val="222"/>
              <w:rFonts w:ascii="仿宋" w:hAnsi="仿宋" w:eastAsia="仿宋" w:cs="Times New Roman"/>
              <w:kern w:val="0"/>
              <w:sz w:val="32"/>
              <w:szCs w:val="32"/>
            </w:rPr>
            <w:t>”</w:t>
          </w:r>
          <w:r>
            <w:rPr>
              <w:rStyle w:val="222"/>
              <w:rFonts w:hint="eastAsia" w:ascii="仿宋" w:hAnsi="仿宋" w:eastAsia="仿宋" w:cs="Times New Roman"/>
              <w:kern w:val="0"/>
              <w:sz w:val="32"/>
              <w:szCs w:val="32"/>
            </w:rPr>
            <w:t>和</w:t>
          </w:r>
          <w:r>
            <w:rPr>
              <w:rStyle w:val="222"/>
              <w:rFonts w:ascii="仿宋" w:hAnsi="仿宋" w:eastAsia="仿宋" w:cs="Times New Roman"/>
              <w:kern w:val="0"/>
              <w:sz w:val="32"/>
              <w:szCs w:val="32"/>
            </w:rPr>
            <w:t>“</w:t>
          </w:r>
          <w:r>
            <w:rPr>
              <w:rStyle w:val="222"/>
              <w:rFonts w:hint="eastAsia" w:ascii="仿宋" w:hAnsi="仿宋" w:eastAsia="仿宋" w:cs="Times New Roman"/>
              <w:kern w:val="0"/>
              <w:sz w:val="32"/>
              <w:szCs w:val="32"/>
            </w:rPr>
            <w:t>错峰办税</w:t>
          </w:r>
          <w:r>
            <w:rPr>
              <w:rStyle w:val="222"/>
              <w:rFonts w:ascii="仿宋" w:hAnsi="仿宋" w:eastAsia="仿宋" w:cs="Times New Roman"/>
              <w:kern w:val="0"/>
              <w:sz w:val="32"/>
              <w:szCs w:val="32"/>
            </w:rPr>
            <w:t>”</w:t>
          </w:r>
          <w:r>
            <w:rPr>
              <w:rStyle w:val="222"/>
              <w:rFonts w:hint="eastAsia" w:ascii="仿宋" w:hAnsi="仿宋" w:eastAsia="仿宋" w:cs="Times New Roman"/>
              <w:kern w:val="0"/>
              <w:sz w:val="32"/>
              <w:szCs w:val="32"/>
            </w:rPr>
            <w:t>服务指南</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_Toc34141526 \h </w:instrText>
          </w:r>
          <w:r>
            <w:rPr>
              <w:rFonts w:ascii="仿宋" w:hAnsi="仿宋" w:eastAsia="仿宋"/>
              <w:sz w:val="32"/>
              <w:szCs w:val="32"/>
            </w:rPr>
            <w:fldChar w:fldCharType="separate"/>
          </w:r>
          <w:r>
            <w:rPr>
              <w:rFonts w:ascii="仿宋" w:hAnsi="仿宋" w:eastAsia="仿宋"/>
              <w:sz w:val="32"/>
              <w:szCs w:val="32"/>
            </w:rPr>
            <w:t>313</w:t>
          </w:r>
          <w:r>
            <w:rPr>
              <w:rFonts w:ascii="仿宋" w:hAnsi="仿宋" w:eastAsia="仿宋"/>
              <w:sz w:val="32"/>
              <w:szCs w:val="32"/>
            </w:rPr>
            <w:fldChar w:fldCharType="end"/>
          </w:r>
          <w:r>
            <w:rPr>
              <w:rFonts w:ascii="仿宋" w:hAnsi="仿宋" w:eastAsia="仿宋"/>
              <w:sz w:val="32"/>
              <w:szCs w:val="32"/>
            </w:rPr>
            <w:fldChar w:fldCharType="end"/>
          </w:r>
        </w:p>
        <w:p>
          <w:pPr>
            <w:pStyle w:val="59"/>
            <w:ind w:firstLine="420"/>
            <w:rPr>
              <w:rFonts w:ascii="仿宋" w:hAnsi="仿宋" w:eastAsia="仿宋"/>
              <w:sz w:val="32"/>
              <w:szCs w:val="32"/>
            </w:rPr>
          </w:pPr>
          <w:r>
            <w:rPr>
              <w:rFonts w:ascii="仿宋" w:hAnsi="仿宋" w:eastAsia="仿宋"/>
              <w:sz w:val="32"/>
              <w:szCs w:val="32"/>
            </w:rPr>
            <w:fldChar w:fldCharType="end"/>
          </w:r>
        </w:p>
      </w:sdtContent>
    </w:sdt>
    <w:p>
      <w:pPr>
        <w:pStyle w:val="59"/>
        <w:jc w:val="both"/>
        <w:rPr>
          <w:rFonts w:ascii="仿宋" w:hAnsi="仿宋" w:eastAsia="仿宋"/>
          <w:sz w:val="32"/>
          <w:szCs w:val="32"/>
        </w:rPr>
      </w:pPr>
    </w:p>
    <w:p>
      <w:pPr>
        <w:rPr>
          <w:rFonts w:ascii="仿宋" w:hAnsi="仿宋" w:eastAsia="仿宋"/>
          <w:sz w:val="32"/>
          <w:szCs w:val="32"/>
        </w:rPr>
        <w:sectPr>
          <w:pgSz w:w="11906" w:h="16838"/>
          <w:pgMar w:top="1440" w:right="1474" w:bottom="1440" w:left="1531" w:header="851" w:footer="992" w:gutter="0"/>
          <w:cols w:space="425" w:num="1"/>
          <w:docGrid w:type="lines" w:linePitch="312" w:charSpace="0"/>
        </w:sectPr>
      </w:pPr>
    </w:p>
    <w:p>
      <w:pPr>
        <w:pStyle w:val="263"/>
        <w:adjustRightInd w:val="0"/>
        <w:snapToGrid w:val="0"/>
        <w:spacing w:after="0" w:line="360" w:lineRule="auto"/>
        <w:jc w:val="center"/>
        <w:outlineLvl w:val="0"/>
        <w:rPr>
          <w:rFonts w:ascii="仿宋" w:hAnsi="仿宋" w:eastAsia="仿宋"/>
          <w:bCs w:val="0"/>
          <w:color w:val="000000" w:themeColor="text1"/>
          <w:sz w:val="32"/>
          <w:szCs w:val="32"/>
        </w:rPr>
      </w:pPr>
      <w:bookmarkStart w:id="11" w:name="_Toc34141397"/>
      <w:r>
        <w:rPr>
          <w:rFonts w:hint="eastAsia" w:ascii="仿宋" w:hAnsi="仿宋" w:eastAsia="仿宋"/>
          <w:bCs w:val="0"/>
          <w:color w:val="000000" w:themeColor="text1"/>
          <w:sz w:val="32"/>
          <w:szCs w:val="32"/>
        </w:rPr>
        <w:t>一</w:t>
      </w:r>
      <w:r>
        <w:rPr>
          <w:rFonts w:ascii="仿宋" w:hAnsi="仿宋" w:eastAsia="仿宋"/>
          <w:bCs w:val="0"/>
          <w:color w:val="000000" w:themeColor="text1"/>
          <w:sz w:val="32"/>
          <w:szCs w:val="32"/>
        </w:rPr>
        <w:t>、</w:t>
      </w:r>
      <w:r>
        <w:rPr>
          <w:rFonts w:hint="eastAsia" w:ascii="仿宋" w:hAnsi="仿宋" w:eastAsia="仿宋"/>
          <w:bCs w:val="0"/>
          <w:color w:val="000000" w:themeColor="text1"/>
          <w:sz w:val="32"/>
          <w:szCs w:val="32"/>
        </w:rPr>
        <w:t>国家涉税政策</w:t>
      </w:r>
      <w:bookmarkEnd w:id="11"/>
    </w:p>
    <w:p>
      <w:pPr>
        <w:pStyle w:val="4"/>
        <w:snapToGrid w:val="0"/>
        <w:spacing w:before="0" w:after="0" w:line="360" w:lineRule="auto"/>
        <w:jc w:val="center"/>
        <w:rPr>
          <w:rFonts w:ascii="仿宋" w:hAnsi="仿宋" w:eastAsia="仿宋"/>
          <w:bCs w:val="0"/>
        </w:rPr>
      </w:pPr>
      <w:bookmarkStart w:id="12" w:name="_Toc34141398"/>
      <w:r>
        <w:rPr>
          <w:rFonts w:hint="eastAsia" w:ascii="仿宋" w:hAnsi="仿宋" w:eastAsia="仿宋"/>
          <w:bCs w:val="0"/>
        </w:rPr>
        <w:t>海关总署10条“硬核”措施 全力支持外贸企业复工复产</w:t>
      </w:r>
      <w:bookmarkEnd w:id="12"/>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统筹做好新冠肺炎疫情防控和经济社会发展工作的重要指示精神，落实党中央、国务院决策部署，在做好疫情防控工作的同时，有效降低新冠肺炎疫情对经济的影响，2月16日海关总署出台10条措施，支持外贸企业抓紧复工生产，促进外贸稳增长。</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10条措施包括：加大支持力度，缓解企业经营困难。简化企业注册登记或备案手续，对企业注册信息发生变更的，除企业名称需要通过网上提交变更申请外，其他注册信息暂无需申请变更，待疫情结束后再行办理相关手续。及时帮助企业，特别是中小微企业解决进出口中遇到的问题。指导企业规范管理，减少进出口报关差错，避免发生程序性违规。</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加快验放进口生产设备和原材料。对企业生产急需进口的机器设备、原材料做到快速验放，如需实施查验的，提高机检比例，减少开箱检查，满足企业顺势监管需求。收货人可以委托监管作业场所经营人、运输工具负责人等到场，或通过电子邮件、电子平台等方式告知海关不到场实施查验。对于需要送实验室检测的，可凭第三方认证、检测报告或企业质量安全自我声明快验快放，进一步降低送实验室检测比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促进农产品、食品扩大进口。进一步增加农产品、食品准入国别和注册企业数量，增加进口品种。加快农产品、食品准入进程，压缩检疫审批时长，对符合要求的申请随报随批。在重点口岸开辟农产品、食品进口绿色通道，实行24小时预约通关；需现场检查的，无需企业书面申请，现场即可安排优先实施检查，未见异常的快速放行；发现疑似病虫害特征需送实验室检测的，优先安排检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支持企业扩大出口。优化出口前监管，提供便捷出证服务，有针对性地做好出口货物检疫证书、处理证书、原产地证、卫生证书等出具工作。加快出口备案企业审批流程。加强对企业进行国外技术贸易措施专项培训，为企业顺利出口提供支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简化进口特殊医疗物品检疫审批。以疫情防控为目的进口用于治疗、预防、诊断新型冠状病毒肺炎的疫苗、血液制品、试剂等特殊医疗物品，在风险可控前提下，口岸海关凭主管部门证明直接验放。</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简化加工贸易延期办理手续。加工贸易企业（含海关特殊监管区域内企业）因延迟复工造成加工贸易手（账）册超期核销的，深加工结转、内销征税等各类申报业务超过规定时限的，主管海关凭企业说明办理延期手续，企业事后补交有关材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简化核销手续，减少下厂稽查。对于需要核销的保税手（账）册，一般不下厂盘点，海关根据企业盘点申报数据办理核销手续，企业留存相关资料。海关对具备条件的企业，采用远程视频连线、文件数据电子传输等非现场的方式实施稽查，减少下厂次数，降低对企业生产经营的影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从简从快办理行政处罚。对企业和个人涉及疫情防控物资的案件，从简从快处理。一般不对涉案货物、物品、运输工具、帐簿材料实施扣留。当事人书面承认违法事实，并有查验、检查记录等关键证据能够相互印证的，海关可作为证据使用。经当事人同意，可以采用传真、电子邮件、移动通信等能够确认其收悉的方式送达行政处罚法律文书。</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积极开展国际协调合作，加强国外限制性贸易措施的应对。加强海关外贸统计监测预警，密切关注、收集其他国家（地区）因疫情对我进出口商品采取的限制措施。加强分析研判，及时发布预警信息，为进出口企业提供有针对性的咨询服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发挥“互联网+海关”作用。保障信息化系统稳定高效运行。必须当面验核纸质材料的，经批准可先通过拍照、扫描等方式提供电子文档，后补交纸质材料。同时，通过12360海关热线和新媒体平台，及时解答企业咨询，宣传海关各项政策及便利措施。</w:t>
      </w:r>
    </w:p>
    <w:p>
      <w:pPr>
        <w:adjustRightInd w:val="0"/>
        <w:snapToGrid w:val="0"/>
        <w:spacing w:line="360" w:lineRule="auto"/>
        <w:ind w:firstLine="640" w:firstLineChars="200"/>
        <w:jc w:val="left"/>
        <w:rPr>
          <w:rStyle w:val="215"/>
          <w:rFonts w:ascii="仿宋" w:hAnsi="仿宋" w:eastAsia="仿宋"/>
          <w:color w:val="auto"/>
          <w:sz w:val="32"/>
          <w:szCs w:val="32"/>
          <w:u w:val="none"/>
        </w:rPr>
      </w:pPr>
    </w:p>
    <w:p>
      <w:pPr>
        <w:pStyle w:val="4"/>
        <w:snapToGrid w:val="0"/>
        <w:spacing w:before="0" w:after="0" w:line="360" w:lineRule="auto"/>
        <w:jc w:val="center"/>
        <w:rPr>
          <w:rFonts w:ascii="仿宋" w:hAnsi="仿宋" w:eastAsia="仿宋"/>
          <w:bCs w:val="0"/>
        </w:rPr>
      </w:pPr>
      <w:bookmarkStart w:id="13" w:name="_Toc34141399"/>
      <w:r>
        <w:rPr>
          <w:rFonts w:hint="eastAsia" w:ascii="仿宋" w:hAnsi="仿宋" w:eastAsia="仿宋"/>
          <w:bCs w:val="0"/>
        </w:rPr>
        <w:t>国家税务总局关于进一步延长2020年2月份纳税申报期限有关事项的通知</w:t>
      </w:r>
      <w:r>
        <w:rPr>
          <w:rFonts w:ascii="仿宋" w:hAnsi="仿宋" w:eastAsia="仿宋"/>
          <w:b w:val="0"/>
          <w:bCs w:val="0"/>
          <w:color w:val="000000" w:themeColor="text1"/>
        </w:rPr>
        <w:br w:type="textWrapping"/>
      </w:r>
      <w:r>
        <w:rPr>
          <w:rFonts w:hint="eastAsia" w:ascii="仿宋" w:hAnsi="仿宋" w:eastAsia="仿宋" w:cs="Times New Roman"/>
          <w:b w:val="0"/>
        </w:rPr>
        <w:t>（</w:t>
      </w:r>
      <w:r>
        <w:rPr>
          <w:rFonts w:hint="eastAsia" w:ascii="仿宋" w:hAnsi="仿宋" w:eastAsia="仿宋"/>
          <w:bCs w:val="0"/>
        </w:rPr>
        <w:t>税总函〔2020〕27号)</w:t>
      </w:r>
      <w:bookmarkEnd w:id="13"/>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国家税务总局各省、自治区、直辖市和计划单列市税务局，国家税务总局驻各地特派员办事处，局内各单位：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为进一步支持疫情防控工作和企业复工复产，便利纳税人、扣缴义务人（以下简称纳税人）统筹办理纳税申报事项，税务总局决定再次延长2020年2月份纳税申报期限，现将有关事项通知如下：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一、对按月申报的纳税人，除湖北省外，纳税申报期限进一步延至2月28日（星期五）。</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受疫情影响到2月28日仍无法办理纳税申报或延期申报的纳税人，可在及时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三、各省税务机关结合实际情况，进一步明确补办延期申报手续的时限，优化办理流程。执行中遇到的问题，请及时向税务总局（征管科技司）报告。     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4"/>
        <w:snapToGrid w:val="0"/>
        <w:spacing w:before="0" w:after="0" w:line="360" w:lineRule="auto"/>
        <w:jc w:val="center"/>
        <w:rPr>
          <w:rFonts w:ascii="仿宋" w:hAnsi="仿宋" w:eastAsia="仿宋"/>
          <w:bCs w:val="0"/>
        </w:rPr>
      </w:pPr>
      <w:bookmarkStart w:id="14" w:name="_Toc34141400"/>
      <w:r>
        <w:rPr>
          <w:rFonts w:hint="eastAsia" w:ascii="仿宋" w:hAnsi="仿宋" w:eastAsia="仿宋"/>
          <w:bCs w:val="0"/>
        </w:rPr>
        <w:t>人力资源社会保障部办公厅关于切实做好新型冠状病毒感染的肺炎疫情防控期间社会保险经办工作的通知</w:t>
      </w:r>
      <w:r>
        <w:rPr>
          <w:rFonts w:ascii="仿宋" w:hAnsi="仿宋" w:eastAsia="仿宋"/>
          <w:b w:val="0"/>
          <w:bCs w:val="0"/>
          <w:color w:val="000000" w:themeColor="text1"/>
        </w:rPr>
        <w:br w:type="textWrapping"/>
      </w:r>
      <w:r>
        <w:rPr>
          <w:rFonts w:hint="eastAsia" w:ascii="仿宋" w:hAnsi="仿宋" w:eastAsia="仿宋" w:cs="Times New Roman"/>
        </w:rPr>
        <w:t>（人社厅明电〔2020〕7号)</w:t>
      </w:r>
      <w:bookmarkEnd w:id="14"/>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各省、自治区、直辖市及新疆生产建设兵团人力资源社会保障厅（局）：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为深入贯彻习近平总书记重要指示精神和李克强总理批示要求，按照党中央、国务院决策部署，切实做好疫情防控期间社会保险经办工作，现就有关事项通知如下：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一、确保各项社会保险待遇按时足额发放</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级人力资源社会保障行政部门及所属社保经办机构要进一步提高政治站位，加强与财政、金融机构等部门和单位协商，探索通过网上受理、初审待遇申领，按月预发养老保险待遇，确保参保人权益。对于领取待遇人员未按期办理资格认证的，不暂停待遇的发放。对于未能及时办理新增退休人员申报的，经审核后，自审核次月起补发养老金。要做好相应风险防控，减少系统外经办和手工操作，在信息系统中做好新领取待遇人员标识、预发待遇记账及财务处理，疫情稳定后及时进行审核、结算和相应业务稽核内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二、强化经办大厅防控措施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经办大厅是经办机构疫情防控的最大风险点，各地要按照国家对公共服务场所疫情防控的要求，落实通风、消毒、体温监测等必要措施。加强经办大厅的消毒、清洁工作，及时对办事大厅柜台、自助服务机具等设施设备实施严格消毒。窗口工作人员应按规定配戴口罩和手套，到经办大厅办事的群众应配戴口罩并自觉接受体温检测，避免交叉感染。大厅应配备疑似病例留观场所，发现疑似病例就地隔离留观，并及时联系卫生防疫部门处理，保护办事群众和窗口工作人员的健康和安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三、推行“不见面”服务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地应尽最大可能提供“不见面”服务，从源头上减少经办大厅现场人员流量、降低交叉感染风险。要结合全国统一的社会保险公共服务平台建设，加快推动经办服务模式转型升级，将网上办事作为占主导地位的经办服务模式，普及“掌上社保”服务，方便群众足不出户办理业务。要抓住当前不少地区的群众仍需要“跑腿办”“现场办”的参保登记、申报缴纳、关系转移接续等重点业务，开通社保微信等公众服务，实现网上申报缴费、移动支付；建立健全全国统一的社会保险关系转移接续平台，加快实现企业职工养老保险转移网上申请全覆盖，取消邮寄纸质凭证，做到网上办理、顺畅衔接。要依法及时做好网办业务的受理、处理和反馈，抓好电子印章和电子档案的应用，改善群众网上办事体验。全面优化和畅通系统运维工作，确保网上服务的安全、稳定、高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四、开辟医护及相关工作人员工伤保障绿色通道</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地要认真落实人力资源社会保障部、财政部、国家卫生健康委《关于因履行工作职责感染新型冠状病毒肺炎的医护及相关工作人员有关保障问题的通知》精神，做好医护及相关工作人员工伤保障工作。要切实加强信息共享和业务协同，主动跟踪、及时获取工伤认定、鉴定信息，对已参保并被认定为工伤的医护及相关工作人员，要按照特事特办、急事急办原则优先处理，并按照告知承诺制要求精减证明材料，开辟工伤待遇支付快捷通道，及时落实相关待遇，提供优质高效的疫情防控工伤保险服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五、允许参保企业和个人延期办理业务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因受疫情影响，用人单位逾期办理职工参保登记、缴费等业务，经办机构应及时受理。对灵活就业人员和城乡居民2020年一次性补缴或定期缴纳社会保险费放宽时限要求，未能及时办理参保缴费的，允许疫情结束后补办，并在系统内标识。逾期办理缴费不影响参保人员个人权益记录，补办手续应在疫情解除后三个月内完成。</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六、做好宣传引导</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级人力资源社会保障部门及所属社保经办机构要配合地方政府做好联防联控，在经办大厅明显位置张贴疫情防控科普海报、标语等。通过致参保群众的一封信、短信、微信公众号、门户网站、手机APP、12333咨询电话等多种渠道，倡导“不见面”办理，并及时答疑解惑，回应群众关切。要加强对干部职工疫情防护知识的宣传，增强系统干部职工的个人防护意识。有针对性地做好窗口人员心理健康教育，出现问题及时关心、指导干预，确保正常履职不受影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七、加强组织领导</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地要把思想和行动统一到党中央决策部署上来，把疫情防控作为当前最重要的工作，切实加强组织领导，结合社保经办实际，主动作为、压实责任、特事特办，将各项工作要求落实落细。各级人力资源社会保障部门及所属经办机构的领导干部特别是主要领导干部要坚守岗位、靠前指挥，建立健全大厅领导干部带班巡查制度，及时督促检查防控措施是否落实到位，确保经办服务安全、有序开展。要建立疫情应急处理机制和应急预案，切实做到有疫情早发现、早报告、早隔离、早治疗，对于经办系统内部人员发生的重大疫情事件，要及时向当地政府和上级部门报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人力资源社会保障部办公厅</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2020年1月30日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4"/>
        <w:snapToGrid w:val="0"/>
        <w:spacing w:before="0" w:after="0" w:line="360" w:lineRule="auto"/>
        <w:jc w:val="center"/>
        <w:rPr>
          <w:rFonts w:ascii="仿宋" w:hAnsi="仿宋" w:eastAsia="仿宋"/>
          <w:bCs w:val="0"/>
        </w:rPr>
      </w:pPr>
      <w:bookmarkStart w:id="15" w:name="_Toc34141401"/>
      <w:r>
        <w:rPr>
          <w:rFonts w:hint="eastAsia" w:ascii="仿宋" w:hAnsi="仿宋" w:eastAsia="仿宋"/>
          <w:bCs w:val="0"/>
        </w:rPr>
        <w:t>人力资源社会保障部 财政部 税务总局关于阶段性减免企业社会保险费的通知</w:t>
      </w:r>
      <w:r>
        <w:rPr>
          <w:rFonts w:ascii="仿宋" w:hAnsi="仿宋" w:eastAsia="仿宋"/>
          <w:b w:val="0"/>
          <w:bCs w:val="0"/>
          <w:color w:val="000000" w:themeColor="text1"/>
        </w:rPr>
        <w:br w:type="textWrapping"/>
      </w:r>
      <w:r>
        <w:rPr>
          <w:rFonts w:hint="eastAsia" w:ascii="仿宋" w:hAnsi="仿宋" w:eastAsia="仿宋"/>
          <w:bCs w:val="0"/>
        </w:rPr>
        <w:t>（人社部发﹝2020﹞11号）</w:t>
      </w:r>
      <w:bookmarkEnd w:id="15"/>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各省、自治区、直辖市人民政府，新疆生产建设兵团：</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贯彻落实习近平总书记关于新冠肺炎疫情防控工作的重要指示精神，纾解企业困难，推动企业有序复工复产，支持稳定和扩大就业，根据社会保险法有关规定，经国务院同意，现就阶段性减免企业基本养老保险、失业保险、工伤保险（以下简称三项社会保险）单位缴费部分有关问题通知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自2020年2月起，各省、自治区、直辖市（除湖北省外）及新疆生产建设兵团（以下统称省）可根据受疫情影响情况和基金承受能力，免征中小微企业三项社会保险单位缴费部分，免征期限不超过5个月；对大型企业等其他参保单位（不含机关事业单位）三项社会保险单位缴费部分可减半征收，减征期限不超过3个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二、自2020年2月起，湖北省可免征各类参保单位（不含机关事业单位）三项社会保险单位缴费部分，免征期限不超过5个月。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三、受疫情影响生产经营出现严重困难的企业，可申请缓缴社会保险费，缓缴期限原则上不超过6个月，缓缴期间免收滞纳金。</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各省根据工业和信息化部、统计局、发展改革委、财政部《关于印发中小企业划型标准规定的通知》（工信部联企业〔2011〕300号）等有关规定，结合本省实际确定减免企业对象，并加强部门间信息共享，不增加企业事务性负担。</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五、要确保参保人员社会保险权益不受影响，企业要依法履行好代扣代缴职工个人缴费的义务，社保经办机构要做好个人权益记录工作。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各省级政府要切实承担主体责任，确保各项社会保险待遇按时足额支付。加快推进养老保险省级统筹，确保年底前实现基金省级统收统支。2020年企业职工基本养老保险基金中央调剂比例提高到4%，加大对困难地区的支持力度。</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七、各省要结合当地实际，按照本通知规定的减免范围和减免时限执行，规范和加强基金管理，不得自行出台其他减收增支政策。各省可根据减免情况，合理调整2020年基金收入预算。</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省要提高认识，切实加强组织领导，统筹做好疫情防控和经济社会发展工作，抓紧制定具体实施办法，尽快兑现减免政策。各省印发的具体实施办法于3月5日前报人力资源社会保障部、财政部、税务总局备案。各级人力资源社会保障、财政、税务部门要会同相关部门，切实履行职责，加强沟通配合，全力做好疫情防控期间企业社会保险工作，确保企业社会保险费减免等各项政策措施落实到位。</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人力资源社会保障部</w:t>
      </w:r>
      <w:r>
        <w:rPr>
          <w:rFonts w:ascii="Calibri" w:hAnsi="Calibri" w:eastAsia="仿宋" w:cs="Calibri"/>
          <w:kern w:val="0"/>
          <w:sz w:val="32"/>
          <w:szCs w:val="32"/>
        </w:rPr>
        <w:t>  </w:t>
      </w:r>
      <w:r>
        <w:rPr>
          <w:rFonts w:hint="eastAsia" w:ascii="仿宋" w:hAnsi="仿宋" w:eastAsia="仿宋" w:cs="Times New Roman"/>
          <w:kern w:val="0"/>
          <w:sz w:val="32"/>
          <w:szCs w:val="32"/>
        </w:rPr>
        <w:t>财政部</w:t>
      </w:r>
      <w:r>
        <w:rPr>
          <w:rFonts w:ascii="Calibri" w:hAnsi="Calibri" w:eastAsia="仿宋" w:cs="Calibri"/>
          <w:kern w:val="0"/>
          <w:sz w:val="32"/>
          <w:szCs w:val="32"/>
        </w:rPr>
        <w:t>  </w:t>
      </w:r>
      <w:r>
        <w:rPr>
          <w:rFonts w:hint="eastAsia" w:ascii="仿宋" w:hAnsi="仿宋" w:eastAsia="仿宋" w:cs="Times New Roman"/>
          <w:kern w:val="0"/>
          <w:sz w:val="32"/>
          <w:szCs w:val="32"/>
        </w:rPr>
        <w:t>税务总局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2020年2月20日</w:t>
      </w:r>
    </w:p>
    <w:p>
      <w:pPr>
        <w:adjustRightInd w:val="0"/>
        <w:snapToGrid w:val="0"/>
        <w:spacing w:line="360" w:lineRule="auto"/>
        <w:ind w:firstLine="640" w:firstLineChars="200"/>
        <w:jc w:val="center"/>
        <w:rPr>
          <w:rFonts w:ascii="仿宋" w:hAnsi="仿宋" w:eastAsia="仿宋" w:cs="Times New Roman"/>
          <w:kern w:val="0"/>
          <w:sz w:val="32"/>
          <w:szCs w:val="32"/>
        </w:rPr>
      </w:pPr>
    </w:p>
    <w:p>
      <w:pPr>
        <w:pStyle w:val="4"/>
        <w:snapToGrid w:val="0"/>
        <w:spacing w:before="0" w:after="0" w:line="360" w:lineRule="auto"/>
        <w:ind w:firstLine="643" w:firstLineChars="200"/>
        <w:jc w:val="center"/>
        <w:rPr>
          <w:rFonts w:ascii="仿宋" w:hAnsi="仿宋" w:eastAsia="仿宋" w:cs="Times New Roman"/>
          <w:bCs w:val="0"/>
        </w:rPr>
      </w:pPr>
      <w:bookmarkStart w:id="16" w:name="_Toc34141402"/>
      <w:r>
        <w:rPr>
          <w:rFonts w:hint="eastAsia" w:ascii="仿宋" w:hAnsi="仿宋" w:eastAsia="仿宋"/>
          <w:bCs w:val="0"/>
        </w:rPr>
        <w:t>国家税务总局关于做好新型冠状病毒感染的肺炎疫情防控期间出口退（免）税有关工作的通知</w:t>
      </w:r>
      <w:r>
        <w:rPr>
          <w:rFonts w:ascii="仿宋" w:hAnsi="仿宋" w:eastAsia="仿宋"/>
          <w:b w:val="0"/>
          <w:bCs w:val="0"/>
          <w:color w:val="000000" w:themeColor="text1"/>
        </w:rPr>
        <w:br w:type="textWrapping"/>
      </w:r>
      <w:r>
        <w:rPr>
          <w:rFonts w:hint="eastAsia" w:ascii="仿宋" w:hAnsi="仿宋" w:eastAsia="仿宋" w:cs="Times New Roman"/>
          <w:bCs w:val="0"/>
        </w:rPr>
        <w:t>（税总函〔2020〕28号)</w:t>
      </w:r>
      <w:bookmarkEnd w:id="16"/>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国家税务总局各省、自治区、直辖市和计划单列市税务局，国家税务总局驻各地特派员办事处：</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充分发挥税收职能作用助力打赢疫情防控阻击战若干措施的通知》（税总发〔2020〕14号）和《国家税务总局关于支持新型冠状病毒感染的肺炎疫情防控有关税收征收管理事项的公告》（2020年第4号）相关规定，现就疫情防控期间出口退（免）税有关工作明确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一、关于“非接触式”出口退（免）税业务申请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疫情防控期间，纳税人可通过“非接触式”方式申报办理出口退（免）税备案、证明开具和退（免）税申报事项。纳税人办理上述涉税事项时应提交的纸质资料，已实现纸质资料影像化申报的地区，可按现行方式提交；未实现纸质资料影像化申报的地区，暂不要求纳税人提交，疫情防控结束后再行补报。对于纳税人申报中遇到的问题，各级税务机关要灵活应用12366纳税服务热线、微信、视频等“非接触式”渠道进行辅导解答。</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二、关于开展“非接触式”出口退（免）税审核</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疫情防控期间，税务机关受理纳税人申报后，仅审核电子数据，经审核电子数据无误且不存在涉嫌骗税等疑点的，即可办理相关退（免）税事项。经审核发现存在涉嫌骗税等疑点的，可要求纳税人通过微信、邮件等“非接触式”途径提供相关影像资料，待疑点排除后再行办理。纳税人无法通过“非接触式”途径提供影像资料，或者税务机关通过影像资料无法排除疑点的，暂不办理相关退（免）税事项，待疫情结束后按照现行规定核实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三、关于开展“非接触式”调查评估</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对于纳税人申报的出口退（免）税，按照现行规定需开展调查评估的，应采用案头分析、电话约谈、函调等“非接触式”方式进行调查评估，避免采用当面约谈、实地核查等“接触式”方式。调查评估中发现存在涉嫌骗取出口退税等重大疑点，经“非接触式”方式调查评估可以排除疑点的，按规定办理退（免）税；经“非接触式”方式调查评估无法排除疑点的，暂不办理退（免）税。</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（二）对于纳税人申报的出口退（免）税，按照现行规定需实地核查通过才能办理的，在疫情防控期间，按照“容缺办理”的原则，区分以下情形分别处理：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对于纳税人首次申报的退（免）税业务，累计申报的应退（免）税额未超过限额的，经本级税务机关负责人确认可先行审核办理退（免）税；累计申报的应退（免）税额超过限额的，超过限额的部分暂不办理退（免）税。</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税务机关审核办理退（免）税时，对于系统提示的实地核查疑点，应在进行《出口退（免）税实地核查报告》相关疑点处理时，在核查结论中选择“核查通过”，核查结论说明中标识“疫情”字样。委托代办退税生产企业的实地核查比照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首次申报出口退（免）税的具体范围包括：外贸企业首次申报退（免）税；生产企业首次申报退（免）税；外贸综合服务企业首次申报退（免）税；委托代办退税但未进行首次申报实地核查的生产企业；纳税人变更退（免）税办法后首次申报退（免）税。</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累计申报应退（免）税额的限额标准为：外贸企业（含外贸综合服务企业申报自营出口业务）100万元；生产企业200万元；委托代办退税的生产企业100万元。纳税人变更退（免）税办法的，根据变更后的企业类型，按上述标准确定。如遇特殊情况，省级税务机关可酌情提高限额标准，并报税务总局（货物和劳务税司）备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2.其他按照现行规定需实地核查通过才能办理的出口退（免）税，除管理类别为四类的出口企业以及经审核无法排除涉嫌骗税疑点的情形外，经省级税务机关同意，可以比照第1点规定执行。</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3.管理类别为四类的出口企业以及经审核无法排除涉嫌骗税疑点的出口退（免）税申报，经本级税务机关负责人确认，可以暂不开展实地核查，相应退（免）税暂不办理。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四、关于疫情防控期间复函工作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疫情防控期间，对于疫情防控前已完成核查工作的调查函，应按规定及时复函。对于疫情防控前尚未完成核查工作的调查函，经本级税务机关负责人确认，可暂停因复函开展的下户核查工作。如受疫情影响导致无法按时复函的，应在规定时限内回复《延期复函说明》。</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自2020年2月3日起至疫情防控结束前，各地税务机关因疫情影响,超期办结退（免）税或逾期复函的，不作为超期办理业务。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五、关于开展“非接触式”结果反馈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疫情防控期间，税务机关应通过网上反馈的方式及时将出口退（免）税涉税事项办理结果告知纳税人。纳税人确需开具纸质证明的，税务机关可采取邮寄方式送达纳税人。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六、关于疫情防控结束后开展事后复核工作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税务机关应通知纳税人，在疫情结束后的第二个增值税纳税申报期结束前，按照现行规定补报应报送的纸质申报表单及资料。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主管税务机关应按照现行规定，对纳税人补报的纸质申报表单及资料进行复核。发现纳税人未按规定补报，或者报送资料不符合规定的，应通知纳税人限期补正；纳税人未在规定期限内补正，或者补正后的资料仍不符合规定的，按照以下要求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1.已完成备案、备案变更的，按规定撤销备案、备案变更；已办理退（免）税的，应当追回退（免）税款。尚未完成备案、备案变更的，按照现行规定处理。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2.已开具证明的，按规定作废证明；已办理退（免）税的，应当追回退（免）税款。尚未开具相关证明的，按照现行规定处理。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3.已办理退（免）税的，应当追回退（免）税款。未办理退（免）税和涉嫌骗取出口退（免）税的，按照现行规定处理。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七、关于疫情防控结束后补办核查评估手续</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因疫情影响未能进行实地核查的出口退（免）税申报业务，在疫情防控期结束后，税务机关应及时开展实地核查或当面约谈等调查评估工作，并根据核查和评估情况按照现行规定进行处理。纳税人按规定需实地核查通过后办理的退（免）税业务，已经按照本通知第三条规定办理退（免）税，但经实地核查后属于按规定不予办理退（免）税情形的，应追回已退（免）税款。</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对受疫情影响尚未完成核查工作的调查函，在疫情防控期结束后，税务机关应抓紧有序开展实地核查工作，并根据核查结果及时复函。</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2020年2月20日</w:t>
      </w:r>
    </w:p>
    <w:p>
      <w:pPr>
        <w:pStyle w:val="4"/>
        <w:snapToGrid w:val="0"/>
        <w:spacing w:before="0" w:after="0" w:line="360" w:lineRule="auto"/>
        <w:jc w:val="center"/>
        <w:rPr>
          <w:rFonts w:ascii="仿宋" w:hAnsi="仿宋" w:eastAsia="仿宋"/>
          <w:bCs w:val="0"/>
        </w:rPr>
      </w:pPr>
      <w:bookmarkStart w:id="17" w:name="_Toc33451035"/>
      <w:bookmarkStart w:id="18" w:name="_Toc34141403"/>
      <w:r>
        <w:rPr>
          <w:rFonts w:hint="eastAsia" w:ascii="仿宋" w:hAnsi="仿宋" w:eastAsia="仿宋"/>
          <w:bCs w:val="0"/>
        </w:rPr>
        <w:t>国家医保局 财政部 税务总局关于阶段性减征职工基本医疗保险费的指导意见</w:t>
      </w:r>
      <w:bookmarkEnd w:id="17"/>
      <w:bookmarkEnd w:id="18"/>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各省、自治区、直辖市人民政府，新疆生产建设兵团：</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贯彻落实习近平总书记关于新冠肺炎疫情防控工作的重要指示精神，切实减轻企业负担，支持企业复工复产，根据社会保险法有关规定，经国务院同意，现就阶段性减征职工基本医疗保险（以下简称职工医保）单位缴费有关工作提出如下指导意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自2020年2月起，各省、自治区、直辖市及新疆生产建设兵团（以下统称省）可指导统筹地区根据基金运行情况和实际工作需要，在确保基金收支中长期平衡的前提下，对职工医保单位缴费部分实行减半征收，减征期限不超过5个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原则上，统筹基金累计结存可支付月数大于6个月的统筹地区，可实施减征；可支付月数小于6个月但确有必要减征的统筹地区，由各省指导统筹考虑安排。缓缴政策可继续执行，缓缴期限原则上不超过6个月，缓缴期间免收滞纳金。</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各省要指导统筹地区持续完善经办管理服务，确保待遇支付，实施减征和缓缴不能影响参保人享受当期待遇。参保单位应依法履行代扣代缴个人缴费的义务，医保经办机构要做好个人权益记录，确保个人权益不受影响。优化办事流程，不增加参保单位事务性负担。</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各省要指导统筹地区切实加强基金管理，做好统计监测，跟踪分析基金运行情况，采取切实管用的措施，管控制度运行风险，确保基金收支中长期平衡。减征产生的统筹基金收支缺口由统筹地区自行解决。各省可根据减征情况，合理调整2020年基金预算。</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五、已经实施阶段性降低单位费率等援企政策的省可继续执行，也可按照本指导意见精神指导统筹地区调整政策。已实施阶段性降低职工医保单位费率的统筹地区，不得同时执行减半征收措施。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各省要提高思想认识，加强组织领导，分类指导统筹地区做好相关工作。决定实施减征政策的省，印发的具体实施方案于3月5日前报医保局、财政部、税务总局备案。各级医疗保障、财政、税务等部门要加强协同，切实履职，全力做好疫情防控期间的医疗保障各项工作，确保政策落实到位，重要情况及时报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国家医保局 </w:t>
      </w:r>
      <w:r>
        <w:rPr>
          <w:rFonts w:hint="eastAsia" w:ascii="仿宋" w:hAnsi="仿宋" w:eastAsia="仿宋" w:cs="仿宋"/>
          <w:kern w:val="0"/>
          <w:sz w:val="32"/>
          <w:szCs w:val="32"/>
        </w:rPr>
        <w:t>财政部</w:t>
      </w:r>
      <w:r>
        <w:rPr>
          <w:rFonts w:hint="eastAsia" w:ascii="仿宋" w:hAnsi="仿宋" w:eastAsia="仿宋" w:cs="Times New Roman"/>
          <w:kern w:val="0"/>
          <w:sz w:val="32"/>
          <w:szCs w:val="32"/>
        </w:rPr>
        <w:t> </w:t>
      </w:r>
      <w:r>
        <w:rPr>
          <w:rFonts w:hint="eastAsia" w:ascii="仿宋" w:hAnsi="仿宋" w:eastAsia="仿宋" w:cs="仿宋"/>
          <w:kern w:val="0"/>
          <w:sz w:val="32"/>
          <w:szCs w:val="32"/>
        </w:rPr>
        <w:t>税务总局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2020年2月21日</w:t>
      </w:r>
    </w:p>
    <w:p>
      <w:pPr>
        <w:adjustRightInd w:val="0"/>
        <w:snapToGrid w:val="0"/>
        <w:spacing w:line="360" w:lineRule="auto"/>
        <w:ind w:firstLine="643" w:firstLineChars="200"/>
        <w:jc w:val="left"/>
        <w:rPr>
          <w:rStyle w:val="222"/>
          <w:rFonts w:ascii="仿宋" w:hAnsi="仿宋" w:eastAsia="仿宋"/>
          <w:b/>
          <w:color w:val="auto"/>
          <w:sz w:val="32"/>
          <w:szCs w:val="32"/>
          <w:u w:val="none"/>
        </w:rPr>
      </w:pPr>
      <w:r>
        <w:rPr>
          <w:rStyle w:val="222"/>
          <w:rFonts w:ascii="仿宋" w:hAnsi="仿宋" w:eastAsia="仿宋"/>
          <w:b/>
          <w:color w:val="auto"/>
          <w:sz w:val="32"/>
          <w:szCs w:val="32"/>
          <w:u w:val="none"/>
        </w:rPr>
        <w:br w:type="page"/>
      </w:r>
    </w:p>
    <w:p>
      <w:pPr>
        <w:pStyle w:val="263"/>
        <w:adjustRightInd w:val="0"/>
        <w:snapToGrid w:val="0"/>
        <w:spacing w:after="0" w:line="360" w:lineRule="auto"/>
        <w:jc w:val="center"/>
        <w:outlineLvl w:val="0"/>
        <w:rPr>
          <w:rFonts w:ascii="仿宋" w:hAnsi="仿宋" w:eastAsia="仿宋"/>
          <w:bCs w:val="0"/>
          <w:color w:val="000000" w:themeColor="text1"/>
          <w:sz w:val="32"/>
          <w:szCs w:val="32"/>
        </w:rPr>
      </w:pPr>
      <w:bookmarkStart w:id="19" w:name="_Toc32504064"/>
      <w:bookmarkStart w:id="20" w:name="_Toc34141404"/>
      <w:r>
        <w:rPr>
          <w:rFonts w:hint="eastAsia" w:ascii="仿宋" w:hAnsi="仿宋" w:eastAsia="仿宋"/>
          <w:bCs w:val="0"/>
          <w:color w:val="000000" w:themeColor="text1"/>
          <w:sz w:val="32"/>
          <w:szCs w:val="32"/>
        </w:rPr>
        <w:t>二、地方涉税政策</w:t>
      </w:r>
      <w:bookmarkEnd w:id="19"/>
      <w:bookmarkEnd w:id="20"/>
    </w:p>
    <w:p>
      <w:pPr>
        <w:pStyle w:val="263"/>
        <w:adjustRightInd w:val="0"/>
        <w:snapToGrid w:val="0"/>
        <w:spacing w:after="0" w:line="360" w:lineRule="auto"/>
        <w:rPr>
          <w:rFonts w:ascii="仿宋" w:hAnsi="仿宋" w:eastAsia="仿宋"/>
          <w:color w:val="000000" w:themeColor="text1"/>
          <w:sz w:val="32"/>
          <w:szCs w:val="32"/>
        </w:rPr>
      </w:pPr>
      <w:bookmarkStart w:id="21" w:name="_Toc32504065"/>
      <w:bookmarkStart w:id="22" w:name="_Toc34141405"/>
      <w:r>
        <w:rPr>
          <w:rFonts w:hint="eastAsia" w:ascii="仿宋" w:hAnsi="仿宋" w:eastAsia="仿宋"/>
          <w:color w:val="000000" w:themeColor="text1"/>
          <w:sz w:val="32"/>
          <w:szCs w:val="32"/>
        </w:rPr>
        <w:t>（一）北京市</w:t>
      </w:r>
      <w:bookmarkEnd w:id="21"/>
      <w:bookmarkEnd w:id="22"/>
    </w:p>
    <w:p>
      <w:pPr>
        <w:pStyle w:val="5"/>
        <w:adjustRightInd w:val="0"/>
        <w:snapToGrid w:val="0"/>
        <w:spacing w:before="0" w:after="0" w:line="360" w:lineRule="auto"/>
        <w:jc w:val="center"/>
        <w:rPr>
          <w:rFonts w:ascii="仿宋" w:hAnsi="仿宋" w:eastAsia="仿宋"/>
          <w:bCs w:val="0"/>
          <w:color w:val="000000" w:themeColor="text1"/>
        </w:rPr>
      </w:pPr>
      <w:bookmarkStart w:id="23" w:name="_Toc34141406"/>
      <w:r>
        <w:rPr>
          <w:rFonts w:hint="eastAsia" w:ascii="仿宋" w:hAnsi="仿宋" w:eastAsia="仿宋"/>
          <w:bCs w:val="0"/>
          <w:color w:val="000000" w:themeColor="text1"/>
        </w:rPr>
        <w:t>北京市社会保险基金管理中心关于参保单位办理已扣缴2020年1月份社会保险费（养老、失业、工伤保险费）退费及有关问题的通知</w:t>
      </w:r>
      <w:bookmarkEnd w:id="23"/>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各参保单位：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落实我市“将1月、2月应缴社会保险费征收期延长至3月底”的政策，结合目前社会保险费缴纳实际情况，现就参保单位办理已扣缴2020年1月份社会保险费（仅包括职工养老保险、失业保险、工伤保险，下同）退费及有关问题通知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一、已扣缴2020年1月份社会保险费的参保单位，确因实际需要，可申请退费。</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参保单位可于2月17日至29日登录“北京市社会保险网上服务平台”（http://fuwu.rsj.beijing.gov.cn/csibiz/home/），选择 “我要申请退回缴费或申请延期至3月底”，按要求填写相关信息，提交退费申请。申请退费的参保单位，其2月份社会保险费将不再继续自动扣缴。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上述参保单位中，1月份已有办理退休、转移接续、死亡清算等涉及账户清算类业务的人员，此类人员1月份社会保险费不再办理退费，其他人员的社会保险费退费可正常办理。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2月17日至21日申请退费的参保单位，已扣缴的1月份社会保险费将于2月底前退回参保单位银行账户。22日至29日申请退费的参保单位，已扣缴的1月份社会保险费将于3月份退回参保单位银行账户。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二、已扣缴2020年1月份社会保险费的参保单位，也可选择不退费，只申请2月份社会保险费不再自动扣缴。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参保单位可于2月17日至29日登录“北京市社会保险网上服务平台”，选择“我要申请退回缴费或申请延期至3月底”，按要求填写相关信息，申请延期至3月底。提交申请后，其2月份社会保险费将不再继续自动扣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三、已扣缴2020年1月份社会保险费的参保单位，凡未按上述要求提出申请延期至3月底缴费的，其2月份社会保险费将按照原有流程继续自动扣缴。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四、未成功扣缴2020年1月份社会保险费的参保单位，无需提交申请，其1月、2月社会保险费征收期自动延长至3月底。</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北京市社会保险基金管理中心</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2020年2月14日</w:t>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bCs w:val="0"/>
          <w:color w:val="000000" w:themeColor="text1"/>
        </w:rPr>
      </w:pPr>
      <w:bookmarkStart w:id="24" w:name="_Toc33451041"/>
      <w:bookmarkStart w:id="25" w:name="_Toc34141407"/>
      <w:r>
        <w:rPr>
          <w:rFonts w:hint="eastAsia" w:ascii="仿宋" w:hAnsi="仿宋" w:eastAsia="仿宋"/>
          <w:bCs w:val="0"/>
          <w:color w:val="000000" w:themeColor="text1"/>
        </w:rPr>
        <w:t>国家税务总局北京市税务局关于电子发票服务平台接入验证工作的公告</w:t>
      </w:r>
      <w:bookmarkEnd w:id="24"/>
      <w:bookmarkEnd w:id="25"/>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地址：tysl.beijing.chinatax.gov.cn:8443）。</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"http://beijing.chinatax.gov.cn/bjswjwz/xxgk/tzgg/202002/P020200217596731562894.docx" </w:instrText>
      </w:r>
      <w:r>
        <w:fldChar w:fldCharType="separate"/>
      </w:r>
      <w:r>
        <w:rPr>
          <w:rStyle w:val="222"/>
          <w:rFonts w:hint="eastAsia" w:ascii="仿宋" w:hAnsi="仿宋" w:eastAsia="仿宋" w:cs="Times New Roman"/>
          <w:color w:val="auto"/>
          <w:kern w:val="0"/>
          <w:sz w:val="32"/>
          <w:szCs w:val="32"/>
        </w:rPr>
        <w:t>增值税电子发票服务平台安全管理保证书.docx</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国家税务总局北京市税务局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bCs w:val="0"/>
          <w:color w:val="000000" w:themeColor="text1"/>
        </w:rPr>
      </w:pPr>
      <w:r>
        <w:fldChar w:fldCharType="begin"/>
      </w:r>
      <w:r>
        <w:instrText xml:space="preserve"> HYPERLINK "https://www.baidu.com/link?url=az76d-3QxM4Ss6G8MxAFbEAeAOR5y2JWor5JE3crhAeEIt5jrJJfzHKDiASmZQrp&amp;wd=&amp;eqid=84032538002c41e4000000035e5252ae" \t "https://www.baidu.com/_blank" </w:instrText>
      </w:r>
      <w:r>
        <w:fldChar w:fldCharType="separate"/>
      </w:r>
      <w:bookmarkStart w:id="26" w:name="_Toc33451042"/>
      <w:bookmarkStart w:id="27" w:name="_Toc34141408"/>
      <w:r>
        <w:rPr>
          <w:rFonts w:hint="eastAsia" w:ascii="仿宋" w:hAnsi="仿宋" w:eastAsia="仿宋"/>
          <w:bCs w:val="0"/>
          <w:color w:val="000000" w:themeColor="text1"/>
        </w:rPr>
        <w:t>北京市商务局</w:t>
      </w:r>
      <w:r>
        <w:rPr>
          <w:rFonts w:hint="eastAsia" w:ascii="仿宋" w:hAnsi="仿宋" w:eastAsia="仿宋"/>
          <w:bCs w:val="0"/>
          <w:color w:val="000000" w:themeColor="text1"/>
        </w:rPr>
        <w:fldChar w:fldCharType="end"/>
      </w:r>
      <w:r>
        <w:rPr>
          <w:rFonts w:hint="eastAsia" w:ascii="仿宋" w:hAnsi="仿宋" w:eastAsia="仿宋"/>
          <w:bCs w:val="0"/>
          <w:color w:val="000000" w:themeColor="text1"/>
        </w:rPr>
        <w:t>关于新型冠状病毒肺炎疫情防控情况下稳定商务发展有关措施的通知</w:t>
      </w:r>
      <w:bookmarkEnd w:id="26"/>
      <w:bookmarkEnd w:id="27"/>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各有关单位：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为深入贯彻落实市委、市政府关于新型冠状病毒肺炎疫情防控工作部署，全力做好商务领域疫情防控工作，帮助企业经营，服务市民生活，稳定经济运行，特制定如下措施：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一、全力保障生活必需品等重要物资市场供应</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实施两个“点对点”监测补货机制。市商务局统筹重点企业、一级批发市场及大型连锁企业，加大政府储备和货源组织，指导各区落实属地责任，加强零售终端和一、二级市场对接。各区商务局抓好二级市场和非连锁超市供应保障，完善区域生活必需品保供机制，建立预防断货响应机制，落实好补货网络体系。</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2.对疫情防控期间重点保障生活必需品的运输，积极协调有关部门优化通行保障，提供通行便利。</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3.增加蔬菜供给，稳定市场供应。提高仓储能力，增加政府储备，加大调运力度。延长春节蔬菜保供联合行动措施，推动减免入场交易费用，吸引商户进场交易。</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4.拓展进口渠道，积极增加防疫物资进口。对疫情期间急需进口的医疗器械等医药产品，推动简化进口通关流程。对企业在疫情期间进口防疫物资投保的进口预付款保险保费，按照80%比例给予支持。鼓励口岸运营主体为防疫物资通关免收机场服务费用、减免防疫物资仓储租金，鼓励口岸经营企业为防疫物资通关开设绿色通道、提供免费清关服务。与海关、边检、机场集团等密切协作，落实口岸防疫措施，完善信息通报、重点人员处置、口岸现场和交通工具等联防联控机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二、多渠道缓解企业经营压力</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5.对受疫情影响严重或在疫情防控工作中保障市民基本生活的重点连锁餐饮（早餐）、菜店（生鲜超市）、便利店等企业新建连锁直营网点设立项目，对其房屋租金、店面装修、设备购置等费用给予支持，支持比例上限由原50%提高至70%。鼓励网络餐饮服务平台设立产业扶持基金或降低服务费用标准。</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6.对于因疫情影响暂停举办的展会项目，如年内继续在京举办且参展中小微企业数量超过参展企业总数50%的，按照不超过实际缴纳场租费用50%的标准给予支持，补助金额不超过50万元。</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7.发挥外经贸发展专项资金作用，对年度计划获得批复但受疫情影响未能如期参加国际性展会的企业，对已付展位费、大型展品回运费给予50%的支持；同等条件下，对拓展新兴市场的支持比例可提高到70%。</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8.鼓励传统商场“一店一策”试点企业加快升级改造进度，争取早日完成。对传统商场的升级改造项目参照“绿色通道”审批制度执行。对传统商场升级改造过程中发生的投资进行贷款贴息支持。协调金融机构，帮助坚持营业的大型商场争取流动资金贷款。推动各区进行商圈改造，鼓励各商圈进行公共区域环境优化，支持商圈内的商业服务业企业改造升级。</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9.推动减免企业房租。鼓励大型商务楼宇、商场、特色消费街区、市场运营方等对实体经营的中小微承租企业适度减免疫情期间的租金。对采取减免租金措施的租赁企业，各区商务部门积极推动给予适度财政补贴。对符合条件的便民设施、超市等商贸流通企业，推送纳入国资系统房租减免范畴，相应免收2月份房租或给予2月份租金50%的减免。号召市属、区属国有企业参照对中小微承租企业减免房租的政策，对承租物业的大型商场免收2月份房租。</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10.搭建跨行业员工共享平台。市、区商务部门和相关协会搭建对接平台，鼓励组建企业“互助联盟”，引导、支持部分商超与餐饮等企业通过“共享员工”等方式稳定就业，解决用工难与复工难并存问题。</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三、推动加大金融支持力度</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11.引导金融机构加大信贷支持力度。对在疫情防控工作中保障群众生活的连锁商超等企业以及受疫情影响较大的会展、餐饮等行业，协调对接金融机构提供差异化优惠的金融服务。对因疫情影响经营暂时出现困难但有发展前景的企业，协调金融机构不抽贷、不断贷、不压贷，对其中到期还款困难的予以展期或续贷。</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12.降低商业企业融资担保费率。发挥“北京市生活性服务业及商贸流通企业担保平台”引导作用，对疫情期间提供生活服务保障的商贸流通企业，担保费率降至1.5%以下。北京生活性服务业发展基金优先向具备条件的连锁超市、便利店、菜店等零售企业倾斜。</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13.优化外贸企业金融服务。拓展外经贸担保资金支持方式，探索推广订单融资模式；对企业利用出口信用保险保单质押项下的贸易融资和通过外经贸担保服务平台融资在限额范围内贴息50%，降低中小外贸企业融资成本。推动出口信用保险公司为外贸综合服务企业提供定制服务方案。</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四、鼓励扩大优质消费供给</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14.挖掘网络零售发展潜力。研究制定促进“互联网+流通”和跨境电子商务发展的支持措施，鼓励企业拓展网络营销渠道，扩大网络消费服务规模。加快发展跨境电商体验消费新模式，扩大海外消费品供给。</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15.鼓励模式业态创新。鼓励电子商务、快递等企业与超市、便利店、社区商业中心、商务楼宇和小区物业等合作，开展末端共同配送服务新模式试点。加强部门协调，引导电子商务、快递、外卖等企业探索开展“无直接接触配送”服务，使用智能快件箱、指定设施空间等末端设施，推广定点收寄、预约送餐等模式。鼓励具备条件和资质的餐饮企业增加打包服务，与电子商务平台、外卖平台合作，提供网上订餐+线下送餐服务。鼓励大型连锁企业运用自助收银、刷脸支付等新技术，提升门店数字化水平。鼓励前置仓、无人超市（便利店）等新兴业态发展。</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16.统筹国内国际两个市场，丰富消费品市场供给。扩大消费品进口，提升消费品进口便利，拉动境外消费回流。推进跨境电商进口医药产品试点工作。推动在首都国际机场口岸开展汽车平行进口。鼓励出口企业利用电子商务平台开展内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五、积极营造良好发展环境</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17.加快制定推出促消费政策。制定推出2020年促进消费提档升级工作措施。研究制定北京冬奥会消费服务一揽子措施。制定进一步促进社区商业发展的政策措施。鼓励节能减排商品销售企业在疫情期间正常营业。配合有关部门抓紧制定高排放汽车提前淘汰更新鼓励政策。</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18.强化扩大对外开放政策支持。汇总企业有关“稳增长 促防疫”政策诉求，统筹协调有关部门积极争取政策突破，打通企业发展瓶颈。加快推进简化境外投资备案程序，推动数据共享，力争使“减少企业跑动次数”为“零跑动”。鼓励支持服务外包企业在境外设点，缓解企业海外交付等困难。指导符合条件的服务外包企业向属地人力资源社会保障部门申请实行特殊工时制度。</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19.完善外商投资服务体系。全面落实《外商投资法》及配套法规，优化投资促进、保护和管理服务。依托企业登记系统以及企业信用信息公示系统，实现外商投资信息自动推送共享，外资企业无需单独报送。落实外商投资企业投诉工作管理办法，加大投诉工作协调力度，维护外商投资合法权益。加强外资项目跟踪机制、协调机制和绿色通道等机制，做好外资大项目服务保障。加强与外资企业及商协会的联系服务，坚定外商投资者的预期和信心。</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20.优化总部经济发展环境。加快研究完善鼓励总部经济发展政策，统筹整合政策服务资源，针对国企、外企、民企等在京总部企业具体需求，加强精准支持。优化总部企业认定标准，研究制定总部企业研发中心认定办法，吸引符合首都城市战略定位的总部企业、研发中心落户。</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21.推动商务服务业高质量发展。统筹建立全市商务服务业促进体系，建立定期调度、重点联系企业等工作机制。制定实施促进商务咨询服务发展的措施，聚焦会计、法律、管理咨询、广告和人力资源服务等领域，进一步提升专业服务品质。制定导向性政策，优化资金支持方向，引进优质商务服务业增量。</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六、强化企业服务保障</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22.深化“不见面”审批服务。在北京国际贸易“单一窗口”平台开通海外物资捐赠系统，捐赠物资免费清关、便捷通关。鼓励企业在线申领更新进出口许可证电子钥匙，商务部门接件即办，并提供邮寄服务。简化进出口许可证无纸化申领材料。推动有关进出口商会为企业出具不可抗力事实性证明。技术进出口企业、服务外包企业可通过线上申报、网上传输材料等形式完成相关合同备案登记。</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23.提升口岸通关便利化。推进北京“双枢纽”航空货运保障体系建设，完善基础设施建设，培育特色航空物流，增强口岸保障能力。围绕简单证、优流程、提时效、降费用，持续提升口岸监管和服务水平，打造阳光价格、阳光服务、阳关效率“三阳”模式，营造更加公开透明、更加稳定、更具便利的跨境贸易营商环境。</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24.做好企业“服务管家”。密切联系和服务企业，协调解决企业在疫情防控期间遇到的困难和问题。为疫情期间参与生活必需品等重要物资保障供应的企业做好服务。加强对商务领域人力资源密集型企业的疫情防控指导。结合服务贸易企业特点，在企业用工、租房等方面给予支持。加强服务业扩大开放试点项目调度和服务，统筹协调共性问题集中的项目。</w:t>
      </w:r>
      <w:r>
        <w:rPr>
          <w:rFonts w:hint="eastAsia" w:ascii="仿宋" w:hAnsi="仿宋" w:eastAsia="仿宋" w:cs="Times New Roman"/>
          <w:kern w:val="0"/>
          <w:sz w:val="32"/>
          <w:szCs w:val="32"/>
        </w:rPr>
        <w:br w:type="textWrapping"/>
      </w:r>
      <w:r>
        <w:rPr>
          <w:rFonts w:hint="eastAsia" w:ascii="仿宋" w:hAnsi="仿宋" w:eastAsia="仿宋" w:cs="Times New Roman"/>
          <w:kern w:val="0"/>
          <w:sz w:val="32"/>
          <w:szCs w:val="32"/>
        </w:rPr>
        <w:t>　　25.鼓励行业协会主动服务企业。号召行业企业和从业人员切实做好疫情防控工作，向企业一线员工普及传播防控知识，减缓企业员工和消费者心理压力。了解掌握企业现状及诉求，搭建政府与企业的沟通桥梁。倡导行业间互援互助，引导跨行业按需对接，帮助企业携手共渡难关。挖掘行业先进典型，宣传疫情防控期间表现突出的企业和个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国家、北京市的其他相关支持政策措施，遵照执行。</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特此通知。</w:t>
      </w:r>
    </w:p>
    <w:p>
      <w:pPr>
        <w:adjustRightInd w:val="0"/>
        <w:snapToGrid w:val="0"/>
        <w:spacing w:line="360" w:lineRule="auto"/>
        <w:ind w:firstLine="640" w:firstLineChars="200"/>
        <w:jc w:val="left"/>
        <w:rPr>
          <w:rStyle w:val="222"/>
          <w:rFonts w:ascii="仿宋" w:hAnsi="仿宋" w:eastAsia="仿宋" w:cs="Times New Roman"/>
          <w:color w:val="auto"/>
          <w:kern w:val="0"/>
          <w:sz w:val="32"/>
          <w:szCs w:val="32"/>
        </w:rPr>
      </w:pPr>
      <w:r>
        <w:rPr>
          <w:rFonts w:hint="eastAsia" w:ascii="仿宋" w:hAnsi="仿宋" w:eastAsia="仿宋" w:cs="Times New Roman"/>
          <w:kern w:val="0"/>
          <w:sz w:val="32"/>
          <w:szCs w:val="32"/>
        </w:rPr>
        <w:fldChar w:fldCharType="begin"/>
      </w:r>
      <w:r>
        <w:rPr>
          <w:rFonts w:hint="eastAsia" w:ascii="仿宋" w:hAnsi="仿宋" w:eastAsia="仿宋" w:cs="Times New Roman"/>
          <w:kern w:val="0"/>
          <w:sz w:val="32"/>
          <w:szCs w:val="32"/>
        </w:rPr>
        <w:instrText xml:space="preserve"> HYPERLINK "http://sw.beijing.gov.cn/tzgg/202002/P020200221399045242339.doc" </w:instrText>
      </w:r>
      <w:r>
        <w:rPr>
          <w:rFonts w:hint="eastAsia" w:ascii="仿宋" w:hAnsi="仿宋" w:eastAsia="仿宋" w:cs="Times New Roman"/>
          <w:kern w:val="0"/>
          <w:sz w:val="32"/>
          <w:szCs w:val="32"/>
        </w:rPr>
        <w:fldChar w:fldCharType="separate"/>
      </w:r>
      <w:r>
        <w:rPr>
          <w:rStyle w:val="222"/>
          <w:rFonts w:hint="eastAsia" w:ascii="仿宋" w:hAnsi="仿宋" w:eastAsia="仿宋" w:cs="Times New Roman"/>
          <w:color w:val="auto"/>
          <w:kern w:val="0"/>
          <w:sz w:val="32"/>
          <w:szCs w:val="32"/>
        </w:rPr>
        <w:t>附件：有关政策事项的适用范围及办理流程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fldChar w:fldCharType="end"/>
      </w:r>
    </w:p>
    <w:p>
      <w:pPr>
        <w:pStyle w:val="5"/>
        <w:adjustRightInd w:val="0"/>
        <w:snapToGrid w:val="0"/>
        <w:spacing w:before="0" w:after="0" w:line="360" w:lineRule="auto"/>
        <w:jc w:val="center"/>
        <w:rPr>
          <w:rFonts w:ascii="仿宋" w:hAnsi="仿宋" w:eastAsia="仿宋"/>
          <w:bCs w:val="0"/>
          <w:color w:val="000000" w:themeColor="text1"/>
        </w:rPr>
      </w:pPr>
      <w:bookmarkStart w:id="28" w:name="_Toc33451043"/>
      <w:bookmarkStart w:id="29" w:name="_Toc34141409"/>
      <w:r>
        <w:rPr>
          <w:rFonts w:hint="eastAsia" w:ascii="仿宋" w:hAnsi="仿宋" w:eastAsia="仿宋"/>
          <w:bCs w:val="0"/>
          <w:color w:val="000000" w:themeColor="text1"/>
        </w:rPr>
        <w:t>北京市文化改革和发展领导小组办公室关于应对新冠肺炎疫情影响促进文化企业健康发展的若干措施</w:t>
      </w:r>
      <w:bookmarkEnd w:id="28"/>
      <w:r>
        <w:rPr>
          <w:rFonts w:ascii="仿宋" w:hAnsi="仿宋" w:eastAsia="仿宋"/>
          <w:b w:val="0"/>
          <w:bCs w:val="0"/>
          <w:color w:val="000000" w:themeColor="text1"/>
        </w:rPr>
        <w:br w:type="textWrapping"/>
      </w:r>
      <w:r>
        <w:rPr>
          <w:rFonts w:hint="eastAsia" w:ascii="仿宋" w:hAnsi="仿宋" w:eastAsia="仿宋"/>
          <w:bCs w:val="0"/>
          <w:color w:val="000000" w:themeColor="text1"/>
        </w:rPr>
        <w:t>（京文领办发〔2020〕1号)</w:t>
      </w:r>
      <w:bookmarkEnd w:id="29"/>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市文化改革和发展领导小组各成员单位：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落实党中央国务院和市委市政府关于新型冠状病毒肺炎疫情防控工作部署，按照北京市人民政府办公厅《关于进一步支持打好新型冠状病毒感染的肺炎疫情防控阻击战若干措施》和《关于应对新型冠状病毒感染的肺炎疫情影响促进中小微企业持续健康发展的若干措施》要求，进一步减轻疫情对首都文化企业生产经营影响，促进企业健康可持续发展，制定以下工作措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一、凝聚共克时艰强大合力</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提前启动2020年度北京宣传文化引导基金(电影类、新闻出版类)项目申报工作，确保上半年资金拨付到位；增加特殊补贴申报，对今年春节期间受疫情影响未能如期上映的京产影片给予一次性宣传发行补贴，对今年春节前后处于集中创作期，受疫情影响而暂停的重点项目给予创作制作特殊补贴。(责任单位：市新闻出版局、市电影局、市文化发展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(二)提前启动本年度市级电影专项资金项目申报工作，确保上半年资金拨付到位；加大对全市影院放映国产影片补贴力度，扩大资助覆盖面；重点支持受疫情影响经营困难的中小型影院。(责任单位：市电影局)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延长北京文化艺术基金2020年度项目申报时间，适当提高中小微文化企业申报项目资助比例。已获北京文化艺术基金资助项目，由于受疫情影响而取消演出、展览等活动的，在确保项目质量前提下，可适当调整结项要求。(责任单位：市文化和旅游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(四)提前启动2020年北京市实体书店项目扶持申报工作，实现书店申报全方位覆盖。(责任单位：市新闻出版局)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将2020年度北京广播电视网络视听发展基金评选的广播电视和网络视听作品要求调整为2019年6月30日至2020年7月30日期间创作生产和上线播出，确保因疫情延后生产上线的优秀广播电视和网络视听节目能纳入申报范围。(责任单位：市广播电视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(六)对于因疫情影响暂停举办的展会项目，如年内继续在京举办且参展中小微企业数量超过参展企业总数的50%，给予一定的场租费用补贴。(责任单位：市商务局)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延迟缴纳文化企业社会保险费，将1月、2月应缴社会保险费征收期延长至3月底。对文艺演出、影视剧院、会展、旅游、文博等受影响较大的行业企业，经主管部门确认，可将疫情影响期间应缴社会保险费征收期延长至7月底。延迟缴费期间，不收取滞纳金，不影响正常享受各项社会保险待遇，不影响个人权益记录。</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受疫情影响较大，面临暂时性生产经营困难且恢复有望、坚持不裁员或少裁员的参保中小微文化企业，可按6个月的上年度本市月人均失业保险金标准和参保职工人数，返还失业保险费。(责任单位：市人力社保局、市财政局、各区政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八)鼓励北京地区数字出版企业及相关文化机构在疫情期间免费对公众开放优质内容资源及公益性线上演出、功能性小游戏等数字文化内容服务，推荐其中优秀项目申报宣传文化引导基金。(责任单位：市新闻出版局、市文化和旅游局、市文化发展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(九)对符合条件的中小微文化企业房租，通过“房租通”政策给予补贴，探索扩大“房租通”支持范围。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承租市属国有文化企业房产从事生产经营活动的中小微企业，按照政府要求坚持营业或依照防疫规定关闭停业且不裁员、少裁员的，免收2月份房租；承租用于办公用房的，给予2月份租金50%的减免。发挥各行业协会、各园区引导作用，鼓励业主(房东)为中小微文化企业减免租金，具体由双方协商解决。(责任单位：市委宣传部、市新闻出版局、市电影局、市文化和旅游局、市国资委、市广播电视局、市文物局、市文资中心、各区政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(十)鼓励图书等产品供货商对实体书店给予3-6个月的延期结算。鼓励实体书店、印刷企业在条件具备的情况下坚持营业。(责任单位：市新闻出版局)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(十一)对疫情期间为入驻文化企业提供减免房租、困难帮扶的文化产业园区，在市级文化产业园区认定管理中予以政策和资金支持。(责任单位：市委宣传部、市发展改革委、市财政局、市文资中心、各区政府)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二、保障精品内容创作生产</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二)加大对全面建成小康社会、庆祝建党100周年等主题作品的扶持力度。对优秀舞台剧、电影、电视剧、纪录片、出版物以及网络视听作品等开设绿色通道，确保重点创作项目不停工、不流产、不降标。(责任单位：市新闻出版局、市电影局、市文化和旅游局、市广播电视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(十三)广泛征集反映抗疫事迹的舞台剧、电影、电视剧、纪录片、出版物以及网络视听作品等，择优予以扶持。(责任单位：市新闻出版局、市电影局、市文化和旅游局、市广播电视局、市文化发展中心)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四)建立疫情期间舞台剧、电影、电视剧、纪录片、出版物以及网络视听等重点项目种子库，全流程指导把关，确保如期上市发行、上线播出。(责任单位：市新闻出版局、市电影局、市文化和旅游局、市广播电视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三、培育产业发展全新动能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五)推进文化科技融合发展，支持5G、AI、4K/8K超高清、大数据、区块链等关键技术攻关，重点扶持开发一批5G、AI、8K超高清、智慧广电、智慧文旅、“互联网+中华文明”等应用场景建设项目。(责任单位：市委宣传部、市科委、市新闻出版局、市电影局、市经济信息化局、市文化和旅游局、市广播电视局、市文物局、中关村管委会、市文资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(十六)加快推进智慧园区建设，充分利用5G、大数据等新技术，提升园区科学管理水平。加快推进保护利用老旧厂房拓展文化空间项目试点工作，启动征集第二批试点项目。(责任单位：市委宣传部、市文资中心)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七)加快推动新业态融合发展。大力促进网络教育、网络游戏、数字音乐、数字出版等新兴业态融合发展，培育新的经济增长点，形成发展新动能。积极筹备北京国际电竞创新发展大会、中国视听大会、北京国际游戏创新大会、北京国际音乐产业博览会等品牌会展活动。(责任单位：市委宣传部、市新闻出版局、市广播电视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(十八)发挥文化消费带动作用，进一步扩大惠民文化消费电子券发放范围，发放行业专用券，对受疫情影响严重的行业进行重点支持。(责任单位：市文资中心)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四、加大金融服务支持力度</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九)完善“投贷奖”联动体系建设，有效降低文化企业投融资成本，鼓励金融机构服务文化企业发展。给予文化企业贷款贴息、融资租赁贴租、发债奖励和股权融资奖励，按照金融机构服务文化企业的融资额度给予奖励。(责任单位：市文资中心、市财政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对因受疫情影响经营暂时出现困难但有发展前景的文化企业不抽贷、不断贷、不压贷，为相关企业做好续贷服务，努力做到应续尽续、能续快续。鼓励各银行业机构在自身能力可承受的范围内为受疫情影响较大的小微企业适当下调贷款利率，减免利息、罚息和手续费，降低文化类小微企业融资成本。(责任单位：北京银保监局、人行营业管理部、市金融监管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一)持续加大对文化企业的信贷投放，辖区内银行2020年文化企业贷款同比增长不低于15%，有贷款余额的户数同比增长不低于15%。持续开展银行覆盖无贷户的银企对接行动，鼓励银行通过线上方式对接文化企业融资需求，提升文化企业信贷覆盖面。(责任单位：人行营业管理部、北京银保监局、市金融监管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(二十二)推出“北京文化企业专项再贴现支持工具”等再贴现专项产品，进一步优化流程和使用条件，支持金融机构提升优质文化企业票据融资的便利度。(责任单位：人行营业管理部)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三)支持文化类融资担保机构开发中小企业集合债券、集合信托、短期融资券、票据业务等新型担保产品和服务。疫情防控时期，本市政府性担保机构对受疫情影响严重的中小微文化企业降低综合费率0.5个百分点。(责任单位：市财政局、市金融监管局、市文资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四)出台《关于加大金融支持文化产业健康发展的若干措施》，加快推进国家文化与金融合作示范区建设，调整优化风险补偿机制，推动设立文创银行和文化发展基金，完善文化金融支撑体系。(责任单位：市委宣传部、人行营业管理部、市文资中心、市财政局、市金融监管局、北京银保监局、东城区政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五、优化提升政务服务水平</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(二十五)全面加强智慧政务建设，推动更多文化类政务服务事项“网上办、掌上办、指尖办”。</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营业性演出方面，对响应疫情防控措施取消已批准的演出项目，适时再次申报或申请变更演出时间的，审批部门自受理之日起1个工作日出具审批决定。对新申请的营业性演出，受理前先行提供行政指导，优化审批流程，进一步提高审批效率。对于因疫情防控导致不能及时办理营业性演出许可证延续的，可顺延1个月申请办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新闻出版方面，在疫情期间对部分政务服务事项申请材料试行在线提交和承诺制；特定项目允许先上线后备案。充分发挥国产网络游戏属地管理试点优势，设立网络游戏综合服务窗口，提高北京属地游戏审核效率。开通防疫抗疫类等重大题材出版、印刷绿色通道，宽延印刷许可证到期延续办理时限。提供作品著作权(除计算机软件著作权)全程网上登记，与抗击疫情相关的申请办理时间压缩为5个工作日。启用著作权纠纷线上调解机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广播电视和网络视听方面，对有效期截止为2020年1月31日至3月31日期间的广播电视和网络视听相关许可证，到期延续业务可在原办理时间要求基础上顺延2个月申请办理，顺延期间视为有效许可证。网络剧、网络电影、网络动画片节目成片，15个工作日完成审核把关并反馈意见。网络综艺、网络纪录片、网络视听专题节目等网络原创栏目类节目成片，每期内容备案审核时间缩短至3个工作日。网络视听节目直播服务备案申请审核时间缩短至2个工作日。</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电影方面，按照减少流动、在线优先原则，部分申报事项所需纸质和影像材料可通过快递方式送达，对特殊项目予以加急办理，最大限度压缩审批时间；对本年度摄制电影的变更时限在原基础上视疫情周期予以延长；疫情期间市电影局开设电话专线和专邮，解答回应企业困难诉求。</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文物艺术品拍卖方面，优化审批时限，缩短文物拍卖会拍前审核时限，延长文物拍卖会的拍后备案时限。支持文物拍卖企业通过网络平台举办文物拍卖会，减少人员流动，提高效率。对信誉度高、确有特殊困难的重点企业举办线下拍卖会实行一企一策，开辟审批绿色通道，借助科技手段创新审批、审核和备案方式。(责任单位：市新闻出版局、市电影局、市文化和旅游局、市广播电视局、市文物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六)加大疫情后政府采购基层公益性演出的力度。扩大惠民低价票政策补贴范围，做到能补尽补。对入选北京市剧院运营服务平台和各类政府品牌展演活动的优秀演出剧目，给予场租和演出补贴。(责任单位：市文化和旅游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(二十七)“一企一策”支持龙头文化企业发展。加快实施市级文化产业园区“服务包”。加快推进国家文化产业创新实验区建设，不断推动文化产业政策集成创新。(责任单位：市委宣传部、朝阳区政府)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(二十八)加强文化公共服务平台建设，发挥文创金服、文创板等平台作用，为文化企业提供相关政策服务。(责任单位：市文资中心)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上政策措施适用于符合国家统计局《文化及相关产业分类(2018)》且在北京注册的文化企业，自印发之日起实施，有效期至2020年底(文中具体措施有明确期限规定的从其规定，因本市新冠肺炎疫情应急响应结束等原因政策措施不再有必要性的自然失效)。</w:t>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bCs w:val="0"/>
          <w:color w:val="000000" w:themeColor="text1"/>
        </w:rPr>
      </w:pPr>
      <w:bookmarkStart w:id="30" w:name="_Toc33451044"/>
      <w:bookmarkStart w:id="31" w:name="_Toc34141410"/>
      <w:r>
        <w:rPr>
          <w:rFonts w:hint="eastAsia" w:ascii="仿宋" w:hAnsi="仿宋" w:eastAsia="仿宋"/>
          <w:bCs w:val="0"/>
          <w:color w:val="000000" w:themeColor="text1"/>
        </w:rPr>
        <w:t>国家税务总局北京市税务局关于进一步延长2020年2月份纳税申报期限有关事项</w:t>
      </w:r>
      <w:bookmarkEnd w:id="30"/>
      <w:r>
        <w:rPr>
          <w:rFonts w:ascii="仿宋" w:hAnsi="仿宋" w:eastAsia="仿宋"/>
          <w:b w:val="0"/>
          <w:bCs w:val="0"/>
          <w:color w:val="000000" w:themeColor="text1"/>
        </w:rPr>
        <w:br w:type="textWrapping"/>
      </w:r>
      <w:r>
        <w:rPr>
          <w:rFonts w:hint="eastAsia" w:ascii="仿宋" w:hAnsi="仿宋" w:eastAsia="仿宋"/>
          <w:bCs w:val="0"/>
          <w:color w:val="000000" w:themeColor="text1"/>
        </w:rPr>
        <w:t>（国家税务总局北京市税务局通告2020年第2号)</w:t>
      </w:r>
      <w:bookmarkEnd w:id="31"/>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根据《国家税务总局关于进一步延长2020年2月份纳税申报期限有关事项的通知》（税总函〔2020〕27号），现将2020年2月份纳税申报期限有关事项通告如下：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一、对按月申报的纳税人，2020年2月份纳税申报期限进一步延长至2月28日（星期五）。</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对受新冠肺炎疫情影响到2月28日仍无法办理纳税申报或延期申报的纳税人，最迟在政府宣布疫情防控解除之日起15日内补办延期申报手续并同时办理纳税申报。税务机关依法对其不加收税款滞纳金、不给予行政处罚、不调整纳税信用评价、不认定为非正常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纳税人可通过国家税务总局北京市电子税务局（“我要办税”-“税务行政许可”-“对纳税人延期申报的核准”-“补办延期申报手续”）补办延期申报手续，同时填写受疫情影响的正当理由(纳税人对其真实性负责)，即可办理纳税申报。</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特此通告。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国家税务总局北京市税务局</w:t>
      </w:r>
      <w:r>
        <w:rPr>
          <w:rFonts w:ascii="Calibri" w:hAnsi="Calibri" w:eastAsia="仿宋" w:cs="Calibri"/>
          <w:kern w:val="0"/>
          <w:sz w:val="32"/>
          <w:szCs w:val="32"/>
        </w:rPr>
        <w:t>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2020年2月21日</w:t>
      </w:r>
    </w:p>
    <w:p>
      <w:pPr>
        <w:adjustRightInd w:val="0"/>
        <w:snapToGrid w:val="0"/>
        <w:spacing w:line="360" w:lineRule="auto"/>
        <w:ind w:firstLine="643" w:firstLineChars="200"/>
        <w:rPr>
          <w:rStyle w:val="222"/>
          <w:rFonts w:ascii="仿宋" w:hAnsi="仿宋" w:eastAsia="仿宋"/>
          <w:b/>
          <w:bCs/>
          <w:color w:val="auto"/>
          <w:sz w:val="32"/>
          <w:szCs w:val="32"/>
          <w:u w:val="none"/>
        </w:rPr>
      </w:pPr>
      <w:r>
        <w:rPr>
          <w:rStyle w:val="222"/>
          <w:rFonts w:ascii="仿宋" w:hAnsi="仿宋" w:eastAsia="仿宋"/>
          <w:b/>
          <w:bCs/>
          <w:color w:val="auto"/>
          <w:sz w:val="32"/>
          <w:szCs w:val="32"/>
          <w:u w:val="none"/>
        </w:rPr>
        <w:br w:type="page"/>
      </w:r>
    </w:p>
    <w:p>
      <w:pPr>
        <w:pStyle w:val="263"/>
        <w:adjustRightInd w:val="0"/>
        <w:snapToGrid w:val="0"/>
        <w:spacing w:after="0" w:line="360" w:lineRule="auto"/>
        <w:rPr>
          <w:rFonts w:ascii="仿宋" w:hAnsi="仿宋" w:eastAsia="仿宋"/>
          <w:color w:val="000000" w:themeColor="text1"/>
          <w:sz w:val="32"/>
          <w:szCs w:val="32"/>
        </w:rPr>
      </w:pPr>
      <w:bookmarkStart w:id="32" w:name="_Toc34141411"/>
      <w:r>
        <w:rPr>
          <w:rFonts w:hint="eastAsia" w:ascii="仿宋" w:hAnsi="仿宋" w:eastAsia="仿宋"/>
          <w:color w:val="000000" w:themeColor="text1"/>
          <w:sz w:val="32"/>
          <w:szCs w:val="32"/>
        </w:rPr>
        <w:t>（二）天津市</w:t>
      </w:r>
      <w:bookmarkEnd w:id="32"/>
    </w:p>
    <w:p>
      <w:pPr>
        <w:keepNext/>
        <w:keepLines/>
        <w:adjustRightInd w:val="0"/>
        <w:snapToGrid w:val="0"/>
        <w:spacing w:line="360" w:lineRule="auto"/>
        <w:jc w:val="center"/>
        <w:outlineLvl w:val="2"/>
        <w:rPr>
          <w:rFonts w:ascii="仿宋" w:hAnsi="仿宋" w:eastAsia="仿宋"/>
          <w:b/>
          <w:sz w:val="32"/>
          <w:szCs w:val="32"/>
        </w:rPr>
      </w:pPr>
      <w:bookmarkStart w:id="33" w:name="_Toc33451051"/>
      <w:bookmarkStart w:id="34" w:name="_Toc34141412"/>
      <w:r>
        <w:rPr>
          <w:rFonts w:hint="eastAsia" w:ascii="仿宋" w:hAnsi="仿宋" w:eastAsia="仿宋"/>
          <w:b/>
          <w:sz w:val="32"/>
          <w:szCs w:val="32"/>
        </w:rPr>
        <w:t>国家税务总局天津市税务局关于电子发票服务平台接入验证工作的公告</w:t>
      </w:r>
      <w:bookmarkEnd w:id="33"/>
      <w:bookmarkEnd w:id="34"/>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a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（二）税务机关审核电子发票服务平台厂商提交的验证申请信息，将测试用平台UKey和测试用税务UKey邮寄至平台方提供的收件地址，将验证方法和工具发送到平台方指定邮箱。 </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（七）税务机关对上报资料进行验证，向电子发票服务平台厂商反馈验证情况，并做好记录。验证通过的，即可通过我市税务局增值税发票管理系统（2.0版）生产环境正式接入（地址：http://zzssjb.tjsat.gov.cn:446）。</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如有问题，可发送邮件至邮箱（地址：dzfptax@163.com）。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电子发票相关标准规范，可到国家税务总局网站下载。</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附件：增值税电子发票服务平台安全管理保证书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国家税务总局天津市税务局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2020年2月17日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                                                 </w:t>
      </w:r>
    </w:p>
    <w:p>
      <w:pPr>
        <w:adjustRightInd w:val="0"/>
        <w:snapToGrid w:val="0"/>
        <w:spacing w:line="360" w:lineRule="auto"/>
        <w:jc w:val="center"/>
        <w:rPr>
          <w:rFonts w:ascii="仿宋" w:hAnsi="仿宋" w:eastAsia="仿宋" w:cs="Times New Roman"/>
          <w:b/>
          <w:kern w:val="0"/>
          <w:sz w:val="32"/>
          <w:szCs w:val="32"/>
        </w:rPr>
      </w:pPr>
      <w:r>
        <w:rPr>
          <w:rFonts w:hint="eastAsia" w:ascii="仿宋" w:hAnsi="仿宋" w:eastAsia="仿宋" w:cs="Times New Roman"/>
          <w:b/>
          <w:kern w:val="0"/>
          <w:sz w:val="32"/>
          <w:szCs w:val="32"/>
        </w:rPr>
        <w:t>增值税电子发票服务平台安全管理保证书</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        联系人：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        联系电话：</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        邮箱地址：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法人代表签名： </w:t>
      </w:r>
      <w:r>
        <w:rPr>
          <w:rFonts w:ascii="仿宋" w:hAnsi="仿宋" w:eastAsia="仿宋" w:cs="Times New Roman"/>
          <w:kern w:val="0"/>
          <w:sz w:val="32"/>
          <w:szCs w:val="32"/>
        </w:rPr>
        <w:t xml:space="preserve">      </w:t>
      </w:r>
    </w:p>
    <w:p>
      <w:pPr>
        <w:adjustRightInd w:val="0"/>
        <w:snapToGrid w:val="0"/>
        <w:spacing w:line="360" w:lineRule="auto"/>
        <w:ind w:firstLine="640" w:firstLineChars="200"/>
        <w:jc w:val="right"/>
        <w:outlineLvl w:val="0"/>
        <w:rPr>
          <w:rFonts w:ascii="仿宋" w:hAnsi="仿宋" w:eastAsia="仿宋" w:cs="Times New Roman"/>
          <w:kern w:val="0"/>
          <w:sz w:val="32"/>
          <w:szCs w:val="32"/>
        </w:rPr>
      </w:pPr>
      <w:r>
        <w:rPr>
          <w:rFonts w:hint="eastAsia" w:ascii="仿宋" w:hAnsi="仿宋" w:eastAsia="仿宋" w:cs="Times New Roman"/>
          <w:kern w:val="0"/>
          <w:sz w:val="32"/>
          <w:szCs w:val="32"/>
        </w:rPr>
        <w:t>XX公司（电子发票服务平台所有者）（签章）</w:t>
      </w:r>
      <w:r>
        <w:rPr>
          <w:rFonts w:ascii="仿宋" w:hAnsi="仿宋" w:eastAsia="仿宋" w:cs="Times New Roman"/>
          <w:kern w:val="0"/>
          <w:sz w:val="32"/>
          <w:szCs w:val="32"/>
        </w:rPr>
        <w:t xml:space="preserve">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年    月    日 </w:t>
      </w:r>
      <w:r>
        <w:rPr>
          <w:rFonts w:ascii="仿宋" w:hAnsi="仿宋" w:eastAsia="仿宋" w:cs="Times New Roman"/>
          <w:kern w:val="0"/>
          <w:sz w:val="32"/>
          <w:szCs w:val="32"/>
        </w:rPr>
        <w:t xml:space="preserve"> </w:t>
      </w: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35" w:name="_Toc34141413"/>
      <w:r>
        <w:rPr>
          <w:rFonts w:hint="eastAsia" w:ascii="仿宋" w:hAnsi="仿宋" w:eastAsia="仿宋"/>
          <w:color w:val="000000" w:themeColor="text1"/>
          <w:sz w:val="32"/>
          <w:szCs w:val="32"/>
        </w:rPr>
        <w:t>（三）河北省</w:t>
      </w:r>
      <w:bookmarkEnd w:id="35"/>
    </w:p>
    <w:p>
      <w:pPr>
        <w:keepNext/>
        <w:keepLines/>
        <w:adjustRightInd w:val="0"/>
        <w:snapToGrid w:val="0"/>
        <w:spacing w:line="360" w:lineRule="auto"/>
        <w:ind w:firstLine="643" w:firstLineChars="200"/>
        <w:outlineLvl w:val="2"/>
        <w:rPr>
          <w:rFonts w:ascii="仿宋" w:hAnsi="仿宋" w:eastAsia="仿宋"/>
          <w:b/>
          <w:sz w:val="32"/>
          <w:szCs w:val="32"/>
        </w:rPr>
      </w:pPr>
      <w:bookmarkStart w:id="36" w:name="_Toc34141414"/>
      <w:r>
        <w:rPr>
          <w:rFonts w:hint="eastAsia" w:ascii="仿宋" w:hAnsi="仿宋" w:eastAsia="仿宋"/>
          <w:b/>
          <w:sz w:val="32"/>
          <w:szCs w:val="32"/>
        </w:rPr>
        <w:t>无更新</w:t>
      </w:r>
      <w:bookmarkEnd w:id="36"/>
    </w:p>
    <w:p>
      <w:pPr>
        <w:widowControl/>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37" w:name="_Toc34141415"/>
      <w:r>
        <w:rPr>
          <w:rFonts w:hint="eastAsia" w:ascii="仿宋" w:hAnsi="仿宋" w:eastAsia="仿宋"/>
          <w:color w:val="000000" w:themeColor="text1"/>
          <w:sz w:val="32"/>
          <w:szCs w:val="32"/>
        </w:rPr>
        <w:t>（四）山西省</w:t>
      </w:r>
      <w:bookmarkEnd w:id="37"/>
    </w:p>
    <w:p>
      <w:pPr>
        <w:pStyle w:val="830"/>
        <w:adjustRightInd w:val="0"/>
        <w:snapToGrid w:val="0"/>
        <w:spacing w:before="0" w:after="0" w:line="360" w:lineRule="auto"/>
        <w:jc w:val="center"/>
        <w:rPr>
          <w:rFonts w:ascii="仿宋" w:hAnsi="仿宋" w:eastAsia="仿宋" w:cs="Times New Roman"/>
          <w:bCs w:val="0"/>
          <w:kern w:val="0"/>
        </w:rPr>
      </w:pPr>
      <w:bookmarkStart w:id="38" w:name="_Toc33451111"/>
      <w:bookmarkStart w:id="39" w:name="_Toc34141416"/>
      <w:r>
        <w:rPr>
          <w:rFonts w:hint="eastAsia" w:ascii="仿宋" w:hAnsi="仿宋" w:eastAsia="仿宋" w:cs="Times New Roman"/>
          <w:bCs w:val="0"/>
          <w:kern w:val="0"/>
        </w:rPr>
        <w:t>国家税务总局山西省税务局关于企业自建和第三方电子发票服务平台接入验证的公告</w:t>
      </w:r>
      <w:bookmarkEnd w:id="38"/>
      <w:r>
        <w:rPr>
          <w:rFonts w:ascii="仿宋" w:hAnsi="仿宋" w:eastAsia="仿宋"/>
          <w:b w:val="0"/>
          <w:bCs w:val="0"/>
          <w:color w:val="000000" w:themeColor="text1"/>
        </w:rPr>
        <w:br w:type="textWrapping"/>
      </w:r>
      <w:r>
        <w:rPr>
          <w:rFonts w:hint="eastAsia" w:ascii="仿宋" w:hAnsi="仿宋" w:eastAsia="仿宋" w:cs="Times New Roman"/>
          <w:bCs w:val="0"/>
          <w:kern w:val="0"/>
        </w:rPr>
        <w:t>（国家税务总局山西省税务局公告</w:t>
      </w:r>
      <w:r>
        <w:rPr>
          <w:rFonts w:ascii="仿宋" w:hAnsi="仿宋" w:eastAsia="仿宋" w:cs="Times New Roman"/>
          <w:bCs w:val="0"/>
          <w:kern w:val="0"/>
        </w:rPr>
        <w:t>2020年第5号</w:t>
      </w:r>
      <w:r>
        <w:rPr>
          <w:rFonts w:hint="eastAsia" w:ascii="仿宋" w:hAnsi="仿宋" w:eastAsia="仿宋" w:cs="Times New Roman"/>
          <w:bCs w:val="0"/>
          <w:kern w:val="0"/>
        </w:rPr>
        <w:t>）</w:t>
      </w:r>
      <w:bookmarkEnd w:id="39"/>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加强对企业自建和第三方电子发票服务平台（以下简称“电子发票服务平台”）的管理，根据税务总局相关政策要求，电子发票服务平台选择新版税控服务器作为开票设备必须进行接入验证工作。现将企业自建和第三方电子发票服务平台接入验证工作要求公告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（七）税务机关对上报资料进行验证，向电子发票服务平台厂商反馈验证情况，并做好记录。验证通过的，即可通过国家税务总局山西省税务局增值税发票管理系统（</w:t>
      </w:r>
      <w:r>
        <w:rPr>
          <w:rFonts w:ascii="仿宋" w:hAnsi="仿宋" w:eastAsia="仿宋" w:cs="Times New Roman"/>
          <w:kern w:val="0"/>
          <w:sz w:val="32"/>
          <w:szCs w:val="32"/>
        </w:rPr>
        <w:t>2.0版）生产环境正式接入（地址：202.99.194.28）。</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特此公告。</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"http://shanxi.chinatax.gov.cn/upload/file/20200217/1581908657240060358.doc"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ascii="仿宋" w:hAnsi="仿宋" w:eastAsia="仿宋" w:cs="Times New Roman"/>
          <w:color w:val="auto"/>
          <w:kern w:val="0"/>
          <w:sz w:val="32"/>
          <w:szCs w:val="32"/>
        </w:rPr>
        <w:t>.doc</w:t>
      </w:r>
      <w:r>
        <w:rPr>
          <w:rStyle w:val="222"/>
          <w:rFonts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国家税务总局山西省税务局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2020年2月14日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40" w:name="_Toc33451112"/>
      <w:bookmarkStart w:id="41" w:name="_Toc34141417"/>
      <w:r>
        <w:rPr>
          <w:rFonts w:hint="eastAsia" w:ascii="仿宋" w:hAnsi="仿宋" w:eastAsia="仿宋" w:cs="Times New Roman"/>
          <w:bCs w:val="0"/>
          <w:kern w:val="0"/>
        </w:rPr>
        <w:t>国家税务总局山西省税务局疫情防控期间税费优惠政策和征管服务措施汇编</w:t>
      </w:r>
      <w:r>
        <w:rPr>
          <w:rFonts w:ascii="仿宋" w:hAnsi="仿宋" w:eastAsia="仿宋"/>
          <w:b w:val="0"/>
          <w:bCs w:val="0"/>
          <w:color w:val="000000" w:themeColor="text1"/>
        </w:rPr>
        <w:br w:type="textWrapping"/>
      </w:r>
      <w:r>
        <w:rPr>
          <w:rFonts w:hint="eastAsia" w:ascii="仿宋" w:hAnsi="仿宋" w:eastAsia="仿宋" w:cs="Times New Roman"/>
          <w:bCs w:val="0"/>
          <w:kern w:val="0"/>
        </w:rPr>
        <w:t>（</w:t>
      </w:r>
      <w:r>
        <w:rPr>
          <w:rFonts w:ascii="仿宋" w:hAnsi="仿宋" w:eastAsia="仿宋" w:cs="Times New Roman"/>
          <w:bCs w:val="0"/>
          <w:kern w:val="0"/>
        </w:rPr>
        <w:t>2020年2月14日更新）</w:t>
      </w:r>
      <w:bookmarkEnd w:id="40"/>
      <w:bookmarkEnd w:id="41"/>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型冠状病毒感染肺炎疫情防控工作的一系列重要指示精神，全面落实党中央国务院以及国家税务总局、省委省政府关于疫情防控的各项决策部署，为坚决打赢疫情防控阻击战贡献税务力量，我们整理了现行与疫情防控密切相关的税费优惠政策和征管服务措施供您查阅。希望为您充分享受相关税收政策措施提供帮助，我们将根据国家和山西省的最新政策适时进行更新，让我们携手同行，共克时艰。</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"http://shanxi.chinatax.gov.cn/web/detail/sx-11400-522-1706052" </w:instrText>
      </w:r>
      <w:r>
        <w:fldChar w:fldCharType="separate"/>
      </w:r>
      <w:r>
        <w:rPr>
          <w:rStyle w:val="222"/>
          <w:rFonts w:hint="eastAsia" w:ascii="仿宋" w:hAnsi="仿宋" w:eastAsia="仿宋" w:cs="Times New Roman"/>
          <w:color w:val="auto"/>
          <w:kern w:val="0"/>
          <w:sz w:val="32"/>
          <w:szCs w:val="32"/>
        </w:rPr>
        <w:t>疫情防控期间税费优惠政策和征管服务措施汇编</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国家税务总局山西省税务局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2020年2月5日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42" w:name="_Toc34141418"/>
      <w:bookmarkStart w:id="43" w:name="_Toc33451113"/>
      <w:r>
        <w:rPr>
          <w:rFonts w:hint="eastAsia" w:ascii="仿宋" w:hAnsi="仿宋" w:eastAsia="仿宋" w:cs="Times New Roman"/>
          <w:bCs w:val="0"/>
          <w:kern w:val="0"/>
        </w:rPr>
        <w:t>国家税务总局山西省税务局给广大抗疫医疗机构、医护人员享受税费优惠政策和便捷办税服务的温馨提示</w:t>
      </w:r>
      <w:bookmarkEnd w:id="42"/>
      <w:bookmarkEnd w:id="43"/>
    </w:p>
    <w:p>
      <w:pPr>
        <w:widowControl/>
        <w:shd w:val="clear" w:color="auto" w:fill="FFFFFF"/>
        <w:adjustRightInd w:val="0"/>
        <w:snapToGri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尊敬的广大抗疫医疗机构、医护人员：</w:t>
      </w:r>
      <w:r>
        <w:rPr>
          <w:rFonts w:ascii="仿宋" w:hAnsi="仿宋" w:eastAsia="仿宋" w:cs="宋体"/>
          <w:kern w:val="0"/>
          <w:sz w:val="32"/>
          <w:szCs w:val="32"/>
        </w:rPr>
        <w:tab/>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新冠肺炎疫情发生以来，广大医护人员冲锋在前、无私奉献，全力以赴为打赢疫情防控阻击战作贡献，在此向您致以崇高敬意！我们整理了现行医疗机构和医护人员疫情防控密切相关的税费优惠政策和便捷办税措施，供您查阅使用。希望为您享受税费优惠、便利办税缴费贡献一份税务力量，让我们携手同行，共克时艰。</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附件：</w:t>
      </w:r>
      <w:r>
        <w:fldChar w:fldCharType="begin"/>
      </w:r>
      <w:r>
        <w:instrText xml:space="preserve"> HYPERLINK "http://shanxi.chinatax.gov.cn/web/detail/sx-11400-522-1706044" </w:instrText>
      </w:r>
      <w:r>
        <w:fldChar w:fldCharType="separate"/>
      </w:r>
      <w:r>
        <w:rPr>
          <w:rStyle w:val="222"/>
          <w:rFonts w:hint="eastAsia" w:ascii="仿宋" w:hAnsi="仿宋" w:eastAsia="仿宋" w:cs="宋体"/>
          <w:color w:val="auto"/>
          <w:kern w:val="0"/>
          <w:sz w:val="32"/>
          <w:szCs w:val="32"/>
        </w:rPr>
        <w:t>给广大抗疫医疗机构、医护人员享受税费优惠政策和便捷办税服务的温馨提示</w:t>
      </w:r>
      <w:r>
        <w:rPr>
          <w:rStyle w:val="222"/>
          <w:rFonts w:hint="eastAsia" w:ascii="仿宋" w:hAnsi="仿宋" w:eastAsia="仿宋" w:cs="宋体"/>
          <w:color w:val="auto"/>
          <w:kern w:val="0"/>
          <w:sz w:val="32"/>
          <w:szCs w:val="32"/>
        </w:rPr>
        <w:fldChar w:fldCharType="end"/>
      </w:r>
    </w:p>
    <w:p>
      <w:pPr>
        <w:widowControl/>
        <w:shd w:val="clear" w:color="auto" w:fill="FFFFFF"/>
        <w:adjustRightInd w:val="0"/>
        <w:snapToGrid w:val="0"/>
        <w:spacing w:line="360" w:lineRule="auto"/>
        <w:ind w:firstLine="640" w:firstLineChars="200"/>
        <w:jc w:val="right"/>
        <w:rPr>
          <w:rFonts w:ascii="仿宋" w:hAnsi="仿宋" w:eastAsia="仿宋" w:cs="宋体"/>
          <w:kern w:val="0"/>
          <w:sz w:val="32"/>
          <w:szCs w:val="32"/>
        </w:rPr>
      </w:pPr>
      <w:r>
        <w:rPr>
          <w:rFonts w:hint="eastAsia" w:ascii="仿宋" w:hAnsi="仿宋" w:eastAsia="仿宋" w:cs="宋体"/>
          <w:kern w:val="0"/>
          <w:sz w:val="32"/>
          <w:szCs w:val="32"/>
        </w:rPr>
        <w:t>国家税务总局山西省税务局</w:t>
      </w:r>
    </w:p>
    <w:p>
      <w:pPr>
        <w:widowControl/>
        <w:shd w:val="clear" w:color="auto" w:fill="FFFFFF"/>
        <w:adjustRightInd w:val="0"/>
        <w:snapToGrid w:val="0"/>
        <w:spacing w:line="360" w:lineRule="auto"/>
        <w:ind w:firstLine="640" w:firstLineChars="200"/>
        <w:jc w:val="right"/>
        <w:rPr>
          <w:rFonts w:ascii="仿宋" w:hAnsi="仿宋" w:eastAsia="仿宋" w:cs="宋体"/>
          <w:kern w:val="0"/>
          <w:sz w:val="32"/>
          <w:szCs w:val="32"/>
        </w:rPr>
      </w:pPr>
      <w:r>
        <w:rPr>
          <w:rFonts w:ascii="仿宋" w:hAnsi="仿宋" w:eastAsia="仿宋" w:cs="宋体"/>
          <w:kern w:val="0"/>
          <w:sz w:val="32"/>
          <w:szCs w:val="32"/>
        </w:rPr>
        <w:t>2020年2月17日</w:t>
      </w:r>
    </w:p>
    <w:p>
      <w:pPr>
        <w:widowControl/>
        <w:shd w:val="clear" w:color="auto" w:fill="FFFFFF"/>
        <w:adjustRightInd w:val="0"/>
        <w:snapToGrid w:val="0"/>
        <w:spacing w:line="360" w:lineRule="auto"/>
        <w:ind w:firstLine="640" w:firstLineChars="200"/>
        <w:jc w:val="right"/>
        <w:rPr>
          <w:rFonts w:ascii="仿宋" w:hAnsi="仿宋" w:eastAsia="仿宋" w:cs="宋体"/>
          <w:kern w:val="0"/>
          <w:sz w:val="32"/>
          <w:szCs w:val="32"/>
        </w:rPr>
      </w:pPr>
    </w:p>
    <w:p>
      <w:pPr>
        <w:pStyle w:val="830"/>
        <w:adjustRightInd w:val="0"/>
        <w:snapToGrid w:val="0"/>
        <w:spacing w:before="0" w:after="0" w:line="360" w:lineRule="auto"/>
        <w:jc w:val="center"/>
        <w:rPr>
          <w:rFonts w:ascii="仿宋" w:hAnsi="仿宋" w:eastAsia="仿宋"/>
          <w:bCs w:val="0"/>
          <w:color w:val="000000" w:themeColor="text1"/>
        </w:rPr>
      </w:pPr>
      <w:bookmarkStart w:id="44" w:name="_Toc34141419"/>
      <w:bookmarkStart w:id="45" w:name="_Toc33451114"/>
      <w:r>
        <w:rPr>
          <w:rFonts w:hint="eastAsia" w:ascii="仿宋" w:hAnsi="仿宋" w:eastAsia="仿宋"/>
          <w:bCs w:val="0"/>
          <w:color w:val="000000" w:themeColor="text1"/>
        </w:rPr>
        <w:t>疫情防控期间税费优惠政策和征管服务措施汇编</w:t>
      </w:r>
      <w:r>
        <w:rPr>
          <w:rFonts w:ascii="仿宋" w:hAnsi="仿宋" w:eastAsia="仿宋"/>
          <w:bCs w:val="0"/>
          <w:color w:val="000000" w:themeColor="text1"/>
        </w:rPr>
        <w:br w:type="textWrapping"/>
      </w:r>
      <w:r>
        <w:rPr>
          <w:rFonts w:hint="eastAsia" w:ascii="仿宋" w:hAnsi="仿宋" w:eastAsia="仿宋"/>
          <w:bCs w:val="0"/>
          <w:color w:val="000000" w:themeColor="text1"/>
        </w:rPr>
        <w:t>（2020年2月24日更新）</w:t>
      </w:r>
      <w:bookmarkEnd w:id="44"/>
      <w:bookmarkEnd w:id="45"/>
    </w:p>
    <w:p>
      <w:pPr>
        <w:widowControl/>
        <w:shd w:val="clear" w:color="auto" w:fill="FFFFFF"/>
        <w:adjustRightInd w:val="0"/>
        <w:snapToGri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尊敬的纳税人、缴费人：</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为深入贯彻习近平总书记关于新型冠状病毒感染肺炎疫情防控工作的一系列重要指示精神，全面落实党中央国务院以及国家税务总局、省委省政府关于疫情防控的各项决策部署，为坚决打赢疫情防控阻击战贡献税务力量，我们整理了现行与疫情防控密切相关的税费优惠政策和征管服务措施供您查阅。希望为您充分享受相关税收政策措施提供帮助，我们将根据国家和山西省的最新政策适时进行更新，让我们携手同行，共克时艰。</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附件：</w:t>
      </w:r>
      <w:r>
        <w:fldChar w:fldCharType="begin"/>
      </w:r>
      <w:r>
        <w:instrText xml:space="preserve"> HYPERLINK "http://shanxi.chinatax.gov.cn/web/detail/sx-11400-522-1706531" </w:instrText>
      </w:r>
      <w:r>
        <w:fldChar w:fldCharType="separate"/>
      </w:r>
      <w:r>
        <w:rPr>
          <w:rStyle w:val="222"/>
          <w:rFonts w:hint="eastAsia" w:ascii="仿宋" w:hAnsi="仿宋" w:eastAsia="仿宋" w:cs="宋体"/>
          <w:color w:val="auto"/>
          <w:kern w:val="0"/>
          <w:sz w:val="32"/>
          <w:szCs w:val="32"/>
        </w:rPr>
        <w:t>疫情防控期间税费优惠政策和征管服务措施汇编（2020年2月24日更新）</w:t>
      </w:r>
      <w:r>
        <w:rPr>
          <w:rStyle w:val="222"/>
          <w:rFonts w:hint="eastAsia" w:ascii="仿宋" w:hAnsi="仿宋" w:eastAsia="仿宋" w:cs="宋体"/>
          <w:color w:val="auto"/>
          <w:kern w:val="0"/>
          <w:sz w:val="32"/>
          <w:szCs w:val="32"/>
        </w:rPr>
        <w:fldChar w:fldCharType="end"/>
      </w:r>
    </w:p>
    <w:p>
      <w:pPr>
        <w:widowControl/>
        <w:shd w:val="clear" w:color="auto" w:fill="FFFFFF"/>
        <w:adjustRightInd w:val="0"/>
        <w:snapToGrid w:val="0"/>
        <w:spacing w:line="360" w:lineRule="auto"/>
        <w:ind w:firstLine="640" w:firstLineChars="200"/>
        <w:jc w:val="right"/>
        <w:rPr>
          <w:rFonts w:ascii="仿宋" w:hAnsi="仿宋" w:eastAsia="仿宋" w:cs="宋体"/>
          <w:kern w:val="0"/>
          <w:sz w:val="32"/>
          <w:szCs w:val="32"/>
        </w:rPr>
      </w:pPr>
      <w:r>
        <w:rPr>
          <w:rFonts w:hint="eastAsia" w:ascii="仿宋" w:hAnsi="仿宋" w:eastAsia="仿宋" w:cs="宋体"/>
          <w:kern w:val="0"/>
          <w:sz w:val="32"/>
          <w:szCs w:val="32"/>
        </w:rPr>
        <w:t>国家税务总局山西省税务局</w:t>
      </w:r>
    </w:p>
    <w:p>
      <w:pPr>
        <w:widowControl/>
        <w:shd w:val="clear" w:color="auto" w:fill="FFFFFF"/>
        <w:adjustRightInd w:val="0"/>
        <w:snapToGrid w:val="0"/>
        <w:spacing w:line="360" w:lineRule="auto"/>
        <w:ind w:firstLine="640" w:firstLineChars="200"/>
        <w:jc w:val="right"/>
        <w:rPr>
          <w:rFonts w:ascii="仿宋" w:hAnsi="仿宋" w:eastAsia="仿宋" w:cs="宋体"/>
          <w:kern w:val="0"/>
          <w:sz w:val="32"/>
          <w:szCs w:val="32"/>
        </w:rPr>
      </w:pPr>
      <w:r>
        <w:rPr>
          <w:rFonts w:hint="eastAsia" w:ascii="仿宋" w:hAnsi="仿宋" w:eastAsia="仿宋" w:cs="宋体"/>
          <w:kern w:val="0"/>
          <w:sz w:val="32"/>
          <w:szCs w:val="32"/>
        </w:rPr>
        <w:t>2020年2月5日</w:t>
      </w:r>
    </w:p>
    <w:p>
      <w:pPr>
        <w:widowControl/>
        <w:spacing w:before="100" w:beforeAutospacing="1" w:after="150" w:line="600" w:lineRule="atLeast"/>
        <w:jc w:val="center"/>
        <w:outlineLvl w:val="1"/>
        <w:rPr>
          <w:rFonts w:ascii="仿宋" w:hAnsi="仿宋" w:eastAsia="仿宋" w:cs="宋体"/>
          <w:b/>
          <w:color w:val="333333"/>
          <w:kern w:val="0"/>
          <w:sz w:val="32"/>
          <w:szCs w:val="32"/>
        </w:rPr>
      </w:pPr>
      <w:bookmarkStart w:id="46" w:name="_Toc34127487"/>
      <w:r>
        <w:rPr>
          <w:rFonts w:hint="eastAsia" w:ascii="仿宋" w:hAnsi="仿宋" w:eastAsia="仿宋" w:cs="宋体"/>
          <w:b/>
          <w:color w:val="333333"/>
          <w:kern w:val="0"/>
          <w:sz w:val="32"/>
          <w:szCs w:val="32"/>
        </w:rPr>
        <w:t xml:space="preserve">    </w:t>
      </w:r>
      <w:bookmarkStart w:id="47" w:name="_Toc34141420"/>
      <w:r>
        <w:rPr>
          <w:rFonts w:hint="eastAsia" w:ascii="仿宋" w:hAnsi="仿宋" w:eastAsia="仿宋" w:cs="宋体"/>
          <w:b/>
          <w:color w:val="333333"/>
          <w:kern w:val="0"/>
          <w:sz w:val="32"/>
          <w:szCs w:val="32"/>
        </w:rPr>
        <w:t>山西省总工会 国家税务总局山西省税务局关于疫情防控期间延期缴纳工会经费的通知</w:t>
      </w:r>
      <w:bookmarkEnd w:id="46"/>
      <w:bookmarkStart w:id="48" w:name="_Toc34127488"/>
      <w:r>
        <w:rPr>
          <w:rFonts w:hint="eastAsia" w:ascii="仿宋" w:hAnsi="仿宋" w:eastAsia="仿宋" w:cs="宋体"/>
          <w:b/>
          <w:color w:val="333333"/>
          <w:kern w:val="0"/>
          <w:sz w:val="32"/>
          <w:szCs w:val="32"/>
        </w:rPr>
        <w:t>晋工发〔2020〕1号</w:t>
      </w:r>
      <w:bookmarkEnd w:id="47"/>
      <w:bookmarkEnd w:id="48"/>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各市、县（市、区）总工会、税务局，山西转型综改示范区税务局：</w:t>
      </w:r>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　　为深入贯彻习近平总书记关于做好新冠肺炎疫情防控工作的重要指示精神，积极落实党中央、国务院和省委、省政府疫情防控工作决策部署，切实支持我省企业应对疫情冲击，助力缓解企业资金压力，保经营、渡难关，现就疫情防控期间延期缴纳工会经费（含工会筹备金，下同）有关事项通知如下：</w:t>
      </w:r>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　　一、因受疫情影响，全省各类企业2020年一季度工会经费延期缴纳三个月，即第一季度应缴纳的工会经费延期至7月征期与第二季度应缴纳的工会经费合并缴纳。工会经费延期缴纳期间不加收滞纳金。</w:t>
      </w:r>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　　二、本通知执行期限至2020年7月征期结束，之后根据疫情情况再做调整。</w:t>
      </w:r>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　　三、政策执行期间，如遇国家出台新的工会经费减免政策，按新政策执行。</w:t>
      </w:r>
    </w:p>
    <w:p>
      <w:pPr>
        <w:widowControl/>
        <w:spacing w:before="100" w:beforeAutospacing="1" w:after="150" w:line="60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　　本通知下发后，各级工会和税务部门要加强协作配合，精心组织实施，确保政策落实到位。</w:t>
      </w:r>
    </w:p>
    <w:p>
      <w:pPr>
        <w:widowControl/>
        <w:spacing w:before="100" w:beforeAutospacing="1" w:after="150" w:line="600" w:lineRule="atLeast"/>
        <w:rPr>
          <w:rFonts w:ascii="仿宋" w:hAnsi="仿宋" w:eastAsia="仿宋" w:cs="宋体"/>
          <w:color w:val="333333"/>
          <w:kern w:val="0"/>
          <w:sz w:val="32"/>
          <w:szCs w:val="32"/>
        </w:rPr>
      </w:pPr>
    </w:p>
    <w:p>
      <w:pPr>
        <w:widowControl/>
        <w:spacing w:before="100" w:beforeAutospacing="1" w:after="150" w:line="600" w:lineRule="atLeast"/>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山西省总工会  国家税务总局山西省税务局</w:t>
      </w:r>
    </w:p>
    <w:p>
      <w:pPr>
        <w:widowControl/>
        <w:spacing w:before="100" w:beforeAutospacing="1" w:after="150" w:line="600" w:lineRule="atLeast"/>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2020年2月21日</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p>
    <w:p>
      <w:pPr>
        <w:pStyle w:val="263"/>
        <w:adjustRightInd w:val="0"/>
        <w:snapToGrid w:val="0"/>
        <w:spacing w:after="0" w:line="360" w:lineRule="auto"/>
        <w:outlineLvl w:val="0"/>
        <w:rPr>
          <w:rFonts w:ascii="仿宋" w:hAnsi="仿宋" w:eastAsia="仿宋"/>
          <w:color w:val="000000" w:themeColor="text1"/>
          <w:sz w:val="32"/>
          <w:szCs w:val="32"/>
        </w:rPr>
      </w:pPr>
      <w:bookmarkStart w:id="49" w:name="_Toc34141421"/>
      <w:r>
        <w:rPr>
          <w:rFonts w:hint="eastAsia" w:ascii="仿宋" w:hAnsi="仿宋" w:eastAsia="仿宋"/>
          <w:color w:val="000000" w:themeColor="text1"/>
          <w:sz w:val="32"/>
          <w:szCs w:val="32"/>
        </w:rPr>
        <w:t>（五）内蒙古自治区</w:t>
      </w:r>
      <w:bookmarkEnd w:id="49"/>
    </w:p>
    <w:p>
      <w:pPr>
        <w:pStyle w:val="830"/>
        <w:adjustRightInd w:val="0"/>
        <w:snapToGrid w:val="0"/>
        <w:spacing w:before="0" w:after="0" w:line="360" w:lineRule="auto"/>
        <w:jc w:val="center"/>
        <w:rPr>
          <w:rFonts w:ascii="仿宋" w:hAnsi="仿宋" w:eastAsia="仿宋"/>
          <w:bCs w:val="0"/>
          <w:color w:val="000000" w:themeColor="text1"/>
        </w:rPr>
      </w:pPr>
      <w:bookmarkStart w:id="50" w:name="_Toc33451143"/>
      <w:bookmarkStart w:id="51" w:name="_Toc34141422"/>
      <w:r>
        <w:rPr>
          <w:rFonts w:hint="eastAsia" w:ascii="仿宋" w:hAnsi="仿宋" w:eastAsia="仿宋"/>
          <w:bCs w:val="0"/>
          <w:color w:val="000000" w:themeColor="text1"/>
        </w:rPr>
        <w:t>国家税务总局内蒙古自治区税务局关于电子发票服务平台接入验证工作的公告</w:t>
      </w:r>
      <w:bookmarkEnd w:id="50"/>
      <w:bookmarkEnd w:id="51"/>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w:t>
      </w:r>
      <w:r>
        <w:rPr>
          <w:rFonts w:ascii="仿宋" w:hAnsi="仿宋" w:eastAsia="仿宋" w:cs="Times New Roman"/>
          <w:kern w:val="0"/>
          <w:sz w:val="32"/>
          <w:szCs w:val="32"/>
        </w:rPr>
        <w:t xml:space="preserve"> 电子发票服务平台厂商准备工作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1.根据安全代理接口规范做好开发工作；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2.准备用于部署安全代理的机器；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3.准备测试用税控服务器；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4.准备测试用签章服务器。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（二）税控服务器厂商准备工作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二、电子发票服务平台接入验证原则</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三、电子发票服务平台接入验证流程</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（七）税务机关对上报资料进行验证，向电子发票服务平台厂商反馈验证情况，并做好记录。验证通过的，即可通过各省税务局增值税发票管理系统（</w:t>
      </w:r>
      <w:r>
        <w:rPr>
          <w:rFonts w:ascii="仿宋" w:hAnsi="仿宋" w:eastAsia="仿宋" w:cs="Times New Roman"/>
          <w:kern w:val="0"/>
          <w:sz w:val="32"/>
          <w:szCs w:val="32"/>
        </w:rPr>
        <w:t>2.0版）生产环境正式接入（地址：https://zzsfp.nm-n-tax.gov.cn:17007）。</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附件：</w:t>
      </w:r>
      <w:r>
        <w:fldChar w:fldCharType="begin"/>
      </w:r>
      <w:r>
        <w:instrText xml:space="preserve"> HYPERLINK "http://neimenggu.chinatax.gov.cn/xxgk/tzgg/202002/P020200217391918595681.docx"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52" w:name="_Toc34141423"/>
      <w:r>
        <w:rPr>
          <w:rFonts w:hint="eastAsia" w:ascii="仿宋" w:hAnsi="仿宋" w:eastAsia="仿宋"/>
          <w:color w:val="000000" w:themeColor="text1"/>
          <w:sz w:val="32"/>
          <w:szCs w:val="32"/>
        </w:rPr>
        <w:t>（六）辽宁省</w:t>
      </w:r>
      <w:bookmarkEnd w:id="52"/>
    </w:p>
    <w:p>
      <w:pPr>
        <w:pStyle w:val="830"/>
        <w:adjustRightInd w:val="0"/>
        <w:snapToGrid w:val="0"/>
        <w:spacing w:before="0" w:after="0" w:line="360" w:lineRule="auto"/>
        <w:jc w:val="center"/>
        <w:rPr>
          <w:rFonts w:ascii="仿宋" w:hAnsi="仿宋" w:eastAsia="仿宋"/>
          <w:bCs w:val="0"/>
          <w:color w:val="000000" w:themeColor="text1"/>
        </w:rPr>
      </w:pPr>
      <w:bookmarkStart w:id="53" w:name="_Toc34141424"/>
      <w:bookmarkStart w:id="54" w:name="_Toc33451104"/>
      <w:r>
        <w:rPr>
          <w:rFonts w:hint="eastAsia" w:ascii="仿宋" w:hAnsi="仿宋" w:eastAsia="仿宋"/>
          <w:bCs w:val="0"/>
          <w:color w:val="000000" w:themeColor="text1"/>
        </w:rPr>
        <w:t>国家税务总局辽宁省税务局</w:t>
      </w:r>
      <w:r>
        <w:fldChar w:fldCharType="begin"/>
      </w:r>
      <w:r>
        <w:instrText xml:space="preserve"> HYPERLINK "http://liaoning.chinatax.gov.cn/col/col5778/index.html?url=/attach/0/9e72299298674847bf8256bd78089fb0.pdf" \t "http://liaoning.chinatax.gov.cn/col/col46/_blank" \o "企业所得税汇算清缴服务手册（2020版）" </w:instrText>
      </w:r>
      <w:r>
        <w:fldChar w:fldCharType="separate"/>
      </w:r>
      <w:r>
        <w:rPr>
          <w:rFonts w:hint="eastAsia" w:ascii="仿宋" w:hAnsi="仿宋" w:eastAsia="仿宋"/>
          <w:bCs w:val="0"/>
          <w:color w:val="000000" w:themeColor="text1"/>
        </w:rPr>
        <w:t>企业所得税汇算清缴服务手册</w:t>
      </w:r>
      <w:r>
        <w:rPr>
          <w:rFonts w:ascii="仿宋" w:hAnsi="仿宋" w:eastAsia="仿宋"/>
          <w:b w:val="0"/>
          <w:bCs w:val="0"/>
          <w:color w:val="000000" w:themeColor="text1"/>
        </w:rPr>
        <w:br w:type="textWrapping"/>
      </w:r>
      <w:r>
        <w:rPr>
          <w:rFonts w:hint="eastAsia" w:ascii="仿宋" w:hAnsi="仿宋" w:eastAsia="仿宋"/>
          <w:bCs w:val="0"/>
          <w:color w:val="000000" w:themeColor="text1"/>
        </w:rPr>
        <w:t>（2020版）</w:t>
      </w:r>
      <w:bookmarkEnd w:id="53"/>
      <w:bookmarkEnd w:id="54"/>
      <w:r>
        <w:rPr>
          <w:rFonts w:hint="eastAsia" w:ascii="仿宋" w:hAnsi="仿宋" w:eastAsia="仿宋"/>
          <w:bCs w:val="0"/>
          <w:color w:val="000000" w:themeColor="text1"/>
        </w:rPr>
        <w:fldChar w:fldCharType="end"/>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相关内容请参考链接：</w:t>
      </w:r>
    </w:p>
    <w:p>
      <w:pPr>
        <w:widowControl/>
        <w:adjustRightInd w:val="0"/>
        <w:snapToGrid w:val="0"/>
        <w:spacing w:line="360" w:lineRule="auto"/>
        <w:ind w:firstLine="420" w:firstLineChars="200"/>
        <w:rPr>
          <w:rStyle w:val="215"/>
          <w:rFonts w:ascii="仿宋" w:hAnsi="仿宋" w:eastAsia="仿宋" w:cs="Times New Roman"/>
          <w:color w:val="auto"/>
          <w:kern w:val="0"/>
          <w:sz w:val="32"/>
          <w:szCs w:val="32"/>
        </w:rPr>
      </w:pPr>
      <w:r>
        <w:fldChar w:fldCharType="begin"/>
      </w:r>
      <w:r>
        <w:instrText xml:space="preserve"> HYPERLINK "http://liaoning.chinatax.gov.cn/attach/0/9e72299298674847bf8256bd78089fb0.pdf" </w:instrText>
      </w:r>
      <w:r>
        <w:fldChar w:fldCharType="separate"/>
      </w:r>
      <w:r>
        <w:rPr>
          <w:rStyle w:val="215"/>
          <w:rFonts w:hint="eastAsia" w:ascii="仿宋" w:hAnsi="仿宋" w:eastAsia="仿宋" w:cs="Times New Roman"/>
          <w:color w:val="auto"/>
          <w:kern w:val="0"/>
          <w:sz w:val="32"/>
          <w:szCs w:val="32"/>
        </w:rPr>
        <w:t>http://liaoning.chinatax.gov.cn/attach/0/9e72299298674847bf8256bd78089fb0.pdf</w:t>
      </w:r>
      <w:r>
        <w:rPr>
          <w:rStyle w:val="215"/>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kern w:val="0"/>
        </w:rPr>
      </w:pPr>
      <w:bookmarkStart w:id="55" w:name="_Toc34141425"/>
      <w:bookmarkStart w:id="56" w:name="_Toc33451105"/>
      <w:r>
        <w:rPr>
          <w:rFonts w:hint="eastAsia" w:ascii="仿宋" w:hAnsi="仿宋" w:eastAsia="仿宋"/>
          <w:bCs w:val="0"/>
          <w:color w:val="000000" w:themeColor="text1"/>
        </w:rPr>
        <w:t>国家税务总局辽宁省税务局</w:t>
      </w:r>
      <w:r>
        <w:fldChar w:fldCharType="begin"/>
      </w:r>
      <w:r>
        <w:instrText xml:space="preserve"> HYPERLINK "http://i7q.cn/5mc3xS" \t "http://liaoning.chinatax.gov.cn/col/col46/_blank" \o "直播回放 | 支持疫情防控增值税新政及实务解析" </w:instrText>
      </w:r>
      <w:r>
        <w:fldChar w:fldCharType="separate"/>
      </w:r>
      <w:r>
        <w:rPr>
          <w:rFonts w:hint="eastAsia" w:ascii="仿宋" w:hAnsi="仿宋" w:eastAsia="仿宋"/>
          <w:bCs w:val="0"/>
          <w:color w:val="000000" w:themeColor="text1"/>
        </w:rPr>
        <w:t>直播回放支持疫情防控增值税新政及实务解析</w:t>
      </w:r>
      <w:bookmarkEnd w:id="55"/>
      <w:bookmarkEnd w:id="56"/>
      <w:r>
        <w:rPr>
          <w:rFonts w:hint="eastAsia" w:ascii="仿宋" w:hAnsi="仿宋" w:eastAsia="仿宋"/>
          <w:bCs w:val="0"/>
          <w:color w:val="000000" w:themeColor="text1"/>
        </w:rPr>
        <w:fldChar w:fldCharType="end"/>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相关内容请参考链接：</w:t>
      </w:r>
    </w:p>
    <w:p>
      <w:pPr>
        <w:widowControl/>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"http://open.talk-fun.com/play/Ojw_NyEjbipoIyc.html?st=Ap58OCy8QKle1RUgZoa8tQ&amp;e=1613718048&amp;from=cms101476" </w:instrText>
      </w:r>
      <w:r>
        <w:fldChar w:fldCharType="separate"/>
      </w:r>
      <w:r>
        <w:rPr>
          <w:rStyle w:val="215"/>
          <w:rFonts w:hint="eastAsia" w:ascii="仿宋" w:hAnsi="仿宋" w:eastAsia="仿宋" w:cs="Times New Roman"/>
          <w:color w:val="auto"/>
          <w:kern w:val="0"/>
          <w:sz w:val="32"/>
          <w:szCs w:val="32"/>
        </w:rPr>
        <w:t>http://open.talk-fun.com/play/Ojw_NyEjbipoIyc.html?st=Ap58OCy8QKle1RUgZoa8tQ&amp;e=1613718048&amp;from=cms101476</w:t>
      </w:r>
      <w:r>
        <w:rPr>
          <w:rStyle w:val="215"/>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kern w:val="0"/>
        </w:rPr>
      </w:pPr>
      <w:bookmarkStart w:id="57" w:name="_Toc34141426"/>
      <w:bookmarkStart w:id="58" w:name="_Toc33451106"/>
      <w:r>
        <w:rPr>
          <w:rFonts w:hint="eastAsia" w:ascii="仿宋" w:hAnsi="仿宋" w:eastAsia="仿宋"/>
          <w:bCs w:val="0"/>
          <w:color w:val="000000" w:themeColor="text1"/>
        </w:rPr>
        <w:t>国家税务总局辽宁省税务局</w:t>
      </w:r>
      <w:r>
        <w:fldChar w:fldCharType="begin"/>
      </w:r>
      <w:r>
        <w:instrText xml:space="preserve"> HYPERLINK "http://liaoning.chinatax.gov.cn/col/col5778/index.html?url=/attach/0/aa598691b6a34481bb3d8088252f56f0.pdf" \t "http://liaoning.chinatax.gov.cn/col/col46/_blank" \o "疫情防控税收优惠 复工复产税政指南" </w:instrText>
      </w:r>
      <w:r>
        <w:fldChar w:fldCharType="separate"/>
      </w:r>
      <w:r>
        <w:rPr>
          <w:rFonts w:hint="eastAsia" w:ascii="仿宋" w:hAnsi="仿宋" w:eastAsia="仿宋"/>
          <w:bCs w:val="0"/>
          <w:color w:val="000000" w:themeColor="text1"/>
        </w:rPr>
        <w:t xml:space="preserve">疫情防控税收优惠 </w:t>
      </w:r>
      <w:r>
        <w:rPr>
          <w:rFonts w:ascii="仿宋" w:hAnsi="仿宋" w:eastAsia="仿宋"/>
          <w:bCs w:val="0"/>
          <w:color w:val="000000" w:themeColor="text1"/>
        </w:rPr>
        <w:br w:type="textWrapping"/>
      </w:r>
      <w:r>
        <w:rPr>
          <w:rFonts w:hint="eastAsia" w:ascii="仿宋" w:hAnsi="仿宋" w:eastAsia="仿宋"/>
          <w:bCs w:val="0"/>
          <w:color w:val="000000" w:themeColor="text1"/>
        </w:rPr>
        <w:t>复工复产税政指南</w:t>
      </w:r>
      <w:bookmarkEnd w:id="57"/>
      <w:bookmarkEnd w:id="58"/>
      <w:r>
        <w:rPr>
          <w:rFonts w:hint="eastAsia" w:ascii="仿宋" w:hAnsi="仿宋" w:eastAsia="仿宋"/>
          <w:bCs w:val="0"/>
          <w:color w:val="000000" w:themeColor="text1"/>
        </w:rPr>
        <w:fldChar w:fldCharType="end"/>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相关内容请参考链接：</w:t>
      </w:r>
    </w:p>
    <w:p>
      <w:pPr>
        <w:widowControl/>
        <w:adjustRightInd w:val="0"/>
        <w:snapToGrid w:val="0"/>
        <w:spacing w:line="360" w:lineRule="auto"/>
        <w:ind w:firstLine="420" w:firstLineChars="200"/>
        <w:rPr>
          <w:rStyle w:val="215"/>
          <w:rFonts w:ascii="仿宋" w:hAnsi="仿宋" w:eastAsia="仿宋" w:cs="Times New Roman"/>
          <w:color w:val="auto"/>
          <w:kern w:val="0"/>
          <w:sz w:val="32"/>
          <w:szCs w:val="32"/>
        </w:rPr>
      </w:pPr>
      <w:r>
        <w:fldChar w:fldCharType="begin"/>
      </w:r>
      <w:r>
        <w:instrText xml:space="preserve"> HYPERLINK "http://liaoning.chinatax.gov.cn/attach/0/aa598691b6a34481bb3d8088252f56f0.pdf" </w:instrText>
      </w:r>
      <w:r>
        <w:fldChar w:fldCharType="separate"/>
      </w:r>
      <w:r>
        <w:rPr>
          <w:rStyle w:val="215"/>
          <w:rFonts w:hint="eastAsia" w:ascii="仿宋" w:hAnsi="仿宋" w:eastAsia="仿宋" w:cs="Times New Roman"/>
          <w:color w:val="auto"/>
          <w:kern w:val="0"/>
          <w:sz w:val="32"/>
          <w:szCs w:val="32"/>
        </w:rPr>
        <w:t>http://liaoning.chinatax.gov.cn/attach/0/aa598691b6a34481bb3d8088252f56f0.pdf</w:t>
      </w:r>
      <w:r>
        <w:rPr>
          <w:rStyle w:val="215"/>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bCs w:val="0"/>
          <w:color w:val="000000" w:themeColor="text1"/>
        </w:rPr>
      </w:pPr>
      <w:bookmarkStart w:id="59" w:name="_Toc34141427"/>
      <w:bookmarkStart w:id="60" w:name="_Toc33451145"/>
      <w:r>
        <w:rPr>
          <w:rFonts w:hint="eastAsia" w:ascii="仿宋" w:hAnsi="仿宋" w:eastAsia="仿宋"/>
          <w:bCs w:val="0"/>
          <w:color w:val="000000" w:themeColor="text1"/>
        </w:rPr>
        <w:t>国家税务总局大连市税务局疫情防控期间“非接触式”办税工作指引</w:t>
      </w:r>
      <w:bookmarkEnd w:id="59"/>
      <w:bookmarkEnd w:id="60"/>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在新型冠状病毒肺炎疫情防控期间，为保障公众健康，全力做好疫情防控工作，大连市税务局以“尽可能网上办”为原则，依托电子税务局、手机</w:t>
      </w:r>
      <w:r>
        <w:rPr>
          <w:rFonts w:ascii="仿宋" w:hAnsi="仿宋" w:eastAsia="仿宋" w:cs="Times New Roman"/>
          <w:kern w:val="0"/>
          <w:sz w:val="32"/>
          <w:szCs w:val="32"/>
        </w:rPr>
        <w:t>APP、微信公众号、邮寄、传真、电子邮件等“非接触式”办税缴费服务通道，积极开展涉税业务“网上办”、“预约办”、“延期办”，形成全程网上办清单及操作指引（见附件1）、线上线下融合办清单及操作指引（见附件2）、快递邮寄申请单（见附件3）、线下预约办清单（见附件4）以及线下延期办清单（见附件5），保障疫情防控期间纳税人正常开展网上办税，最大程度降低交叉感染的风险。</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一、全程网上办清单及操作指引</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166项“全程网上办清单”事项之内的涉税事项均可通过大连市电子税务局实现全程网上办理。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二、线上线下融合办清单及操作指引</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19项“线上线下融合办清单”之内事项，尽可能采取不见面方式办结。</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“发票领用”事项，目前所有发票均可实现“网上申领，邮寄配送”，其中电子发票领用，纳税人可通过电子税务局提交申请，税务机关确认发放，企业下载开票。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代开增值税专用发票、代开增值税普通发票”事项以及“复议申请管理、税务师事务所行政登记、税务师事务所行政登记变更及终止”，疫情防控期间纳税人如确有邮寄需求，填写《快递邮寄申请单》，发送至邮箱</w:t>
      </w:r>
      <w:r>
        <w:rPr>
          <w:rFonts w:ascii="仿宋" w:hAnsi="仿宋" w:eastAsia="仿宋" w:cs="Times New Roman"/>
          <w:kern w:val="0"/>
          <w:sz w:val="32"/>
          <w:szCs w:val="32"/>
        </w:rPr>
        <w:t>dlswfpyj@163.com，税务机关定期查阅邮箱，采取邮寄方式向纳税人送达纸质发票或《税务师事务所行政登记证书》证件。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三、线下预约办清单</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16项“线下预约办清单”之内的事项，在疫情防控期间纳税人可通过税收管理员电话预约、12366线上预约等通道，分时分批错峰办理，减轻办税服务场所人员聚集风险，降低疫情传播风险。</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四、线下延期办清单</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28项“线下延期办清单”之内的事项，因暂不适合网上办理且业务过程中需税企双方频繁交互，请纳税人关注税务机关网站、电子税务局通知公告，也可通过微信、短信等“非接触式”方式，与税务机关在线沟通，尽可能延期至疫情后办理。</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办税过程中如有任何问题，纳税人可通过</w:t>
      </w:r>
      <w:r>
        <w:rPr>
          <w:rFonts w:ascii="仿宋" w:hAnsi="仿宋" w:eastAsia="仿宋" w:cs="Times New Roman"/>
          <w:kern w:val="0"/>
          <w:sz w:val="32"/>
          <w:szCs w:val="32"/>
        </w:rPr>
        <w:t>12366纳税咨询热线、智能咨询平台、微信工作群等，与税务机关远程在线语音或视频连线，进行纳税咨询、涉税查询等；也可通过关注税务企业号推送、网上纳税人学堂以及直播平台，及时掌握最新的税收动态、税收政策以及相关办税操作等，实现疫情防控期间“非接触式”办税缴费。</w:t>
      </w:r>
    </w:p>
    <w:p>
      <w:pPr>
        <w:adjustRightInd w:val="0"/>
        <w:snapToGrid w:val="0"/>
        <w:spacing w:line="360" w:lineRule="auto"/>
        <w:ind w:left="736" w:leftChars="337" w:hanging="28" w:hangingChars="9"/>
        <w:jc w:val="left"/>
        <w:rPr>
          <w:rFonts w:ascii="仿宋" w:hAnsi="仿宋" w:eastAsia="仿宋" w:cs="Times New Roman"/>
          <w:kern w:val="0"/>
          <w:sz w:val="32"/>
          <w:szCs w:val="32"/>
        </w:rPr>
      </w:pPr>
      <w:r>
        <w:rPr>
          <w:rFonts w:hint="eastAsia" w:ascii="仿宋" w:hAnsi="仿宋" w:eastAsia="仿宋" w:cs="Times New Roman"/>
          <w:kern w:val="0"/>
          <w:sz w:val="32"/>
          <w:szCs w:val="32"/>
        </w:rPr>
        <w:t>附件下载路径：</w:t>
      </w:r>
      <w:r>
        <w:fldChar w:fldCharType="begin"/>
      </w:r>
      <w:r>
        <w:instrText xml:space="preserve"> HYPERLINK "https://wbg.dlntax.gov.cn:7009/ydbg_sl/GetFjcsServlet" </w:instrText>
      </w:r>
      <w:r>
        <w:fldChar w:fldCharType="separate"/>
      </w:r>
      <w:r>
        <w:rPr>
          <w:rStyle w:val="222"/>
          <w:rFonts w:ascii="仿宋" w:hAnsi="仿宋" w:eastAsia="仿宋" w:cs="Times New Roman"/>
          <w:color w:val="auto"/>
          <w:kern w:val="0"/>
          <w:sz w:val="32"/>
          <w:szCs w:val="32"/>
        </w:rPr>
        <w:t>https://wbg.dlntax.gov.cn:7009/ydbg_sl/GetFjcsServlet</w:t>
      </w:r>
      <w:r>
        <w:rPr>
          <w:rStyle w:val="222"/>
          <w:rFonts w:ascii="仿宋" w:hAnsi="仿宋" w:eastAsia="仿宋" w:cs="Times New Roman"/>
          <w:color w:val="auto"/>
          <w:kern w:val="0"/>
          <w:sz w:val="32"/>
          <w:szCs w:val="32"/>
        </w:rPr>
        <w:fldChar w:fldCharType="end"/>
      </w:r>
    </w:p>
    <w:p>
      <w:pPr>
        <w:adjustRightInd w:val="0"/>
        <w:snapToGrid w:val="0"/>
        <w:spacing w:line="360" w:lineRule="auto"/>
        <w:ind w:left="736" w:leftChars="337" w:hanging="28" w:hangingChars="9"/>
        <w:jc w:val="left"/>
        <w:rPr>
          <w:rFonts w:ascii="仿宋" w:hAnsi="仿宋" w:eastAsia="仿宋" w:cs="Times New Roman"/>
          <w:kern w:val="0"/>
          <w:sz w:val="32"/>
          <w:szCs w:val="32"/>
        </w:rPr>
      </w:pP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国家税务总局大连市税务局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2020年2月20日</w:t>
      </w:r>
    </w:p>
    <w:p>
      <w:pPr>
        <w:widowControl/>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61" w:name="_Toc34141428"/>
      <w:r>
        <w:rPr>
          <w:rFonts w:hint="eastAsia" w:ascii="仿宋" w:hAnsi="仿宋" w:eastAsia="仿宋"/>
          <w:color w:val="000000" w:themeColor="text1"/>
          <w:sz w:val="32"/>
          <w:szCs w:val="32"/>
        </w:rPr>
        <w:t>（七）吉林省</w:t>
      </w:r>
      <w:bookmarkEnd w:id="61"/>
    </w:p>
    <w:p>
      <w:pPr>
        <w:keepNext/>
        <w:keepLines/>
        <w:adjustRightInd w:val="0"/>
        <w:snapToGrid w:val="0"/>
        <w:spacing w:line="360" w:lineRule="auto"/>
        <w:ind w:firstLine="643" w:firstLineChars="200"/>
        <w:outlineLvl w:val="2"/>
        <w:rPr>
          <w:rFonts w:ascii="仿宋" w:hAnsi="仿宋" w:eastAsia="仿宋"/>
          <w:b/>
          <w:sz w:val="32"/>
          <w:szCs w:val="32"/>
        </w:rPr>
      </w:pPr>
      <w:bookmarkStart w:id="62" w:name="_Toc34141429"/>
      <w:bookmarkStart w:id="63" w:name="_Toc33868268"/>
      <w:r>
        <w:rPr>
          <w:rFonts w:hint="eastAsia" w:ascii="仿宋" w:hAnsi="仿宋" w:eastAsia="仿宋"/>
          <w:b/>
          <w:sz w:val="32"/>
          <w:szCs w:val="32"/>
        </w:rPr>
        <w:t>无更新</w:t>
      </w:r>
      <w:bookmarkEnd w:id="62"/>
      <w:bookmarkEnd w:id="63"/>
    </w:p>
    <w:p>
      <w:pPr>
        <w:adjustRightInd w:val="0"/>
        <w:snapToGrid w:val="0"/>
        <w:spacing w:line="360" w:lineRule="auto"/>
        <w:ind w:firstLine="640" w:firstLineChars="200"/>
        <w:rPr>
          <w:rStyle w:val="215"/>
          <w:rFonts w:ascii="仿宋" w:hAnsi="仿宋" w:eastAsia="仿宋"/>
          <w:color w:val="auto"/>
          <w:sz w:val="32"/>
          <w:szCs w:val="32"/>
          <w:u w:val="none"/>
        </w:rPr>
      </w:pPr>
    </w:p>
    <w:p>
      <w:pPr>
        <w:widowControl/>
        <w:adjustRightInd w:val="0"/>
        <w:snapToGrid w:val="0"/>
        <w:spacing w:line="360" w:lineRule="auto"/>
        <w:ind w:firstLine="640" w:firstLineChars="200"/>
        <w:jc w:val="left"/>
        <w:rPr>
          <w:rStyle w:val="215"/>
          <w:rFonts w:ascii="仿宋" w:hAnsi="仿宋" w:eastAsia="仿宋"/>
          <w:color w:val="auto"/>
          <w:sz w:val="32"/>
          <w:szCs w:val="32"/>
          <w:u w:val="none"/>
        </w:rPr>
      </w:pPr>
      <w:r>
        <w:rPr>
          <w:rStyle w:val="215"/>
          <w:rFonts w:ascii="仿宋" w:hAnsi="仿宋" w:eastAsia="仿宋"/>
          <w:color w:val="auto"/>
          <w:sz w:val="32"/>
          <w:szCs w:val="32"/>
          <w:u w:val="none"/>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64" w:name="_Toc34141430"/>
      <w:r>
        <w:rPr>
          <w:rFonts w:hint="eastAsia" w:ascii="仿宋" w:hAnsi="仿宋" w:eastAsia="仿宋"/>
          <w:color w:val="000000" w:themeColor="text1"/>
          <w:sz w:val="32"/>
          <w:szCs w:val="32"/>
        </w:rPr>
        <w:t>（八）黑龙江省</w:t>
      </w:r>
      <w:bookmarkEnd w:id="64"/>
    </w:p>
    <w:p>
      <w:pPr>
        <w:pStyle w:val="5"/>
        <w:adjustRightInd w:val="0"/>
        <w:snapToGrid w:val="0"/>
        <w:spacing w:before="0" w:after="0" w:line="360" w:lineRule="auto"/>
        <w:jc w:val="center"/>
        <w:rPr>
          <w:rFonts w:ascii="仿宋" w:hAnsi="仿宋" w:eastAsia="仿宋" w:cs="Times New Roman"/>
          <w:kern w:val="0"/>
        </w:rPr>
      </w:pPr>
      <w:bookmarkStart w:id="65" w:name="_Toc33451095"/>
      <w:bookmarkStart w:id="66" w:name="_Toc34141431"/>
      <w:r>
        <w:rPr>
          <w:rFonts w:hint="eastAsia" w:ascii="仿宋" w:hAnsi="仿宋" w:eastAsia="仿宋"/>
          <w:bCs w:val="0"/>
        </w:rPr>
        <w:t>国家税务总局黑龙江省税务局关于电子发票服务平台接入验证工作的公告</w:t>
      </w:r>
      <w:bookmarkEnd w:id="65"/>
      <w:r>
        <w:rPr>
          <w:rFonts w:ascii="仿宋" w:hAnsi="仿宋" w:eastAsia="仿宋"/>
          <w:b w:val="0"/>
          <w:bCs w:val="0"/>
          <w:color w:val="000000" w:themeColor="text1"/>
        </w:rPr>
        <w:br w:type="textWrapping"/>
      </w:r>
      <w:r>
        <w:rPr>
          <w:rFonts w:hint="eastAsia" w:ascii="仿宋" w:hAnsi="仿宋" w:eastAsia="仿宋" w:cs="Times New Roman"/>
          <w:kern w:val="0"/>
        </w:rPr>
        <w:t>（国家税务总局黑龙江省税务局2020年第2号)</w:t>
      </w:r>
      <w:bookmarkEnd w:id="66"/>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（七）税务机关对上报资料进行验证，向电子发票服务平台厂商反馈验证情况，并做好记录。验证通过的，即可通过各省税务局增值税发票管理系统（2.0版）生产环境正式接入（地址：hljgswsbs.gov.cn:9014）。</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四、施行时间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本公告自发布之日起施行。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特此公告。</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"http://heilongjiang.chinatax.gov.cn/module/download/downfile.jsp?classid=0&amp;filename=5a9729b7e2f14aba85375f6447cdbe56.doc" </w:instrText>
      </w:r>
      <w:r>
        <w:fldChar w:fldCharType="separate"/>
      </w:r>
      <w:r>
        <w:rPr>
          <w:rStyle w:val="222"/>
          <w:rFonts w:hint="eastAsia" w:ascii="仿宋" w:hAnsi="仿宋" w:eastAsia="仿宋" w:cs="Times New Roman"/>
          <w:color w:val="auto"/>
          <w:kern w:val="0"/>
          <w:sz w:val="32"/>
          <w:szCs w:val="32"/>
        </w:rPr>
        <w:drawing>
          <wp:inline distT="0" distB="0" distL="114300" distR="114300">
            <wp:extent cx="152400" cy="152400"/>
            <wp:effectExtent l="0" t="0" r="0" b="0"/>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6"/>
                    <a:stretch>
                      <a:fillRect/>
                    </a:stretch>
                  </pic:blipFill>
                  <pic:spPr>
                    <a:xfrm>
                      <a:off x="0" y="0"/>
                      <a:ext cx="152400" cy="152400"/>
                    </a:xfrm>
                    <a:prstGeom prst="rect">
                      <a:avLst/>
                    </a:prstGeom>
                    <a:noFill/>
                    <a:ln w="9525">
                      <a:noFill/>
                    </a:ln>
                  </pic:spPr>
                </pic:pic>
              </a:graphicData>
            </a:graphic>
          </wp:inline>
        </w:drawing>
      </w:r>
      <w:r>
        <w:rPr>
          <w:rStyle w:val="222"/>
          <w:rFonts w:hint="eastAsia" w:ascii="仿宋" w:hAnsi="仿宋" w:eastAsia="仿宋" w:cs="Times New Roman"/>
          <w:color w:val="auto"/>
          <w:kern w:val="0"/>
          <w:sz w:val="32"/>
          <w:szCs w:val="32"/>
        </w:rPr>
        <w:t>增值税电子发票服务平台安全管理保证书.doc</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国家税务总局黑龙江省税务局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67" w:name="_Toc34141432"/>
      <w:bookmarkStart w:id="68" w:name="_Toc33451096"/>
      <w:r>
        <w:rPr>
          <w:rFonts w:hint="eastAsia" w:ascii="仿宋" w:hAnsi="仿宋" w:eastAsia="仿宋"/>
          <w:bCs w:val="0"/>
        </w:rPr>
        <w:t>黑龙江省财政厅国家税务总局黑龙江省税务局黑龙江省民政厅关于公布全省2019年和2020年获得公益性捐赠税前扣除资格的公益性社会团体名单的公告</w:t>
      </w:r>
      <w:bookmarkEnd w:id="67"/>
      <w:bookmarkEnd w:id="68"/>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根据《中华人民共和国企业所得税法》及《中华人民共和国企业所得税法实施条例》规定，按照《财政部国家税务总局民政部关于公益性捐赠税前扣除资格确认审批有关调整事项的通知》（财税〔2015〕141号）要求，现将2019年和2020年度黑龙江省符合公益性社会团体捐赠税前扣除资格条件的公益性社会团体名单进行公告（见附件）。纳税人2019年度、2020年度通过公益性社会团体发生的符合条件的公益捐赠支出，可向主管税务机关申报税前扣除。</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名单内的公益性社会团体应当严格按照国家法律法规开展公益性活动。各级财政、税务、民政部门将在日常工作中强化监督管理，如发现已公布名单中有不符合条件的，省财政厅、省税务局、省民政厅将取消其公益性捐赠税前扣除资格。</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特此公告。</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附件：1.黑龙江省2019年公益性捐赠税前扣除资格名单</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2.黑龙江省2020年公益性捐赠税前扣除资格名单</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黑龙江省财政厅</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国家税务总局黑龙江省税务局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黑龙江省民政厅</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2020年2月12日</w:t>
      </w:r>
    </w:p>
    <w:p>
      <w:pPr>
        <w:adjustRightInd w:val="0"/>
        <w:snapToGrid w:val="0"/>
        <w:spacing w:line="360" w:lineRule="auto"/>
        <w:rPr>
          <w:rFonts w:ascii="仿宋" w:hAnsi="仿宋" w:eastAsia="仿宋" w:cs="Times New Roman"/>
          <w:b/>
          <w:bCs/>
          <w:kern w:val="0"/>
          <w:sz w:val="32"/>
          <w:szCs w:val="32"/>
        </w:rPr>
      </w:pPr>
      <w:r>
        <w:rPr>
          <w:rFonts w:hint="eastAsia" w:ascii="仿宋" w:hAnsi="仿宋" w:eastAsia="仿宋" w:cs="Times New Roman"/>
          <w:b/>
          <w:bCs/>
          <w:kern w:val="0"/>
          <w:sz w:val="32"/>
          <w:szCs w:val="32"/>
        </w:rPr>
        <w:t>附件1</w:t>
      </w:r>
    </w:p>
    <w:p>
      <w:pPr>
        <w:adjustRightInd w:val="0"/>
        <w:snapToGrid w:val="0"/>
        <w:spacing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黑龙江省2019年公益性捐赠税前扣除资格名单</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1.大庆市老年福利基金会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2.黑龙江省青少年发展基金会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3.黑龙江省妇女儿童基金会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 .齐齐哈尔市见义勇为奖励基金会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 .黑龙江省残疾人福利基金会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 .黑龙江省公安民警救助基金会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 .哈尔滨市道里区残疾人福利基金会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 .哈尔滨市残疾人福利基金会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 .黑龙江省教师奖励基金会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10.黑龙江恢先地震工程学基金会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11.黑龙江省华侨经济文化基金会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12.黑龙江飞鹤乳业有限公司助学基金会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13.哈尔滨市道里区慈善基金会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14.鸡西市残疾人福利基金会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15.哈尔滨市见义勇为奖励基金会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16.哈尔滨市老年基金会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17.黑龙江省见义勇为奖励基金会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18.黑龙江中华文化发展基金会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19.哈尔滨工程大学教育发展基金会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20.哈尔滨市香坊区残疾人福利基金会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21.鹤岗市检察人员救助基金会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22.哈尔滨工业大学教育发展基金会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23.黑龙江垦区一戎水稻科技奖励基金会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24.黑龙江省东北林业大学教育发展基金会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25.哈尔滨市公安民警救助基金会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26.黑龙江省青年创业就业基金会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27.哈尔滨医科大学发展基金会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28.哈尔滨师范大学教育发展基金会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29.一达助学（伊春）基金会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30.黑龙江省体育发展基金会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31.黑龙江省东北石油大学教育发展基金会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32.哈尔滨理工大学教育发展基金会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33.黑龙江大学教育发展基金会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34.大庆市残疾人福利基金会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35.黑龙江省亚布力(中国)企业家论坛发展研究基金会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36.牡丹江市公安民警救助基金会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37.黑龙江中医药大学教育发展基金会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38.哈尔滨商业大学教育发展基金会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39.黑龙江工程学院教育发展基金会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40.牡丹江师范学院教育发展基金会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41.齐齐哈尔大学教育发展基金会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42.黑龙江省哈尔滨工业大学附属中学校教育发展基金会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43.大庆市公安民警救助基金会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44.哈尔滨市南岗区残疾人福利基金会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45.黑龙江省佳木斯大学教育发展基金会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46.黑龙江省大庆市妇女儿童基金会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47.黑龙江省齐齐哈尔市残疾人福利基金会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48.黑龙江省哈尔滨师范大学附属中学教育发展基金会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49.黑龙江省齐齐哈尔医学院教育发展基金会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50.黑龙江省齐齐哈尔市公安民警救助基金会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51.黑龙江省大庆市见义勇为奖励基金会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52.黑龙江省求真经济研究基金会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53.黑龙江省佳木斯市阳光教育发展基金会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54.黑龙江省哈尔滨体育学院教育发展基金会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55.齐齐哈尔工程学院教育发展基金会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56.黑龙江省东北农业大学教育发展基金会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57.黑龙江省垦区公安民警救助基金会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58.黑龙江省许勇爱心慈善基金会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59.黑龙江省鹤岗市公安民警救助基金会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60.黑龙江科技大学教育发展基金会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61.黑龙江省黑河市公安民警救助基金会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62.黑龙江省阳光健康公益基金会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63.黑龙江省家缘扶贫救助基金会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64.黑龙江省博助贫困精神病人救助基金会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65.黑龙江省哈尔滨妇女儿童基金会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66.黑龙江幼儿师范高等专科学校教育发展基金会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67.黑龙江省七台河市公安民警救助基金会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68.黑龙江省博爱抗癌救助基金会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69.哈尔滨职业技术学院教育发展基金会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70.黑龙江省伊春市残疾人福利基金会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71.黑龙江外国语学院教育发展基金会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72.黑龙江省哈哈福爱心慈善基金会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73.黑龙江省佳木斯市海王卫生事业发展基金会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74.黑龙江省协力扶贫救助基金会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75.黑龙江东方学院教育发展基金会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76.黑龙江省佳木斯市公安民警救助基金会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77.黑龙江省家和公益救助基金会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78.黑龙江省永续自然资源保护公益基金会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79.黑龙江省仁芯骨健康医疗救助基金会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80.黑龙江省天使医疗救助基金会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81.黑龙江省一元慈善基金会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82.黑龙江省哈尔滨美加外国语学校教育发展基金会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83.黑龙江省中合慈善基金会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84.黑龙江省鸡西市公安民警救助基金会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85.黑龙江省海星救助基金会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86.黑龙江省绥化市公安民警救助基金会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87.黑龙江省哈药公益基金会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88.黑龙江省哈尔滨市环卫工人救助基金会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89.黑龙江省牡丹江医学院教育发展基金会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90.黑龙江省应赫慈善基金会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91.黑龙江省伊春市公安民警救助基金会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92.黑龙江省哈尔滨生态环境保护公益基金会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93.黑龙江省正宇国防教育基金会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94.黑龙江省济民慈善基金会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95.黑龙江省绥芬河市德善公益基金会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96.黑龙江省哈三联慈善基金会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97.黑龙江八一农垦大学教育发展基金会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98.黑龙江省飞鹤慈善基金会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99.黑龙江省康安慈善基金会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100.黑龙江省大爱龙江慈善基金会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101.黑龙江工商学院教育发展基金会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102.黑龙江省监狱警察救助基金会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103.黑龙江省卓越公益基金会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104.黑龙江省心康园精神康复救助基金会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105.黑龙江省济众医疗救助慈善基金会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106.黑龙江省贾秀芳慈善基金会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107.黑龙江省慈善总会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108.黑龙江省积善之家帮扶中心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109.北大荒慈善会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110.哈尔滨市慈善总会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111.哈尔滨市爱心公益志愿者协会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112.哈尔滨市道外区慈善会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113.齐齐哈尔市慈善总会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114.双鸭山市慈善总会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115.七台河市慈善总会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116.黑河市慈善协会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117.黑河市爱辉区慈善协会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118.北安市慈善协会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119.嫩江市慈善协会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120.五大连池市慈善协会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121.大兴安岭地区慈善总会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122.大兴安岭地区松岭区慈善总会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123.伊春市慈善总会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124.铁力市慈善总会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125.绥化市慈善总会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126.绥化市北林区慈善总会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127.安达市慈善总会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128.肇东市慈善总会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129.海伦市慈善总会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130.望奎县慈善总会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131.兰西县慈善总会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132.青冈县慈善会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133.庆安县慈善总会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134.明水县慈善总会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135.绥棱县慈善会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136.大庆市慈善会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137.大庆市萨尔图区慈善会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138.大庆市让胡路区慈善会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139.大庆市龙风区慈善会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140.大庆市红岗区慈善会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141.大庆市大同区慈善会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142.杜尔伯特蒙古族自治县慈善会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143.林甸县慈善会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144.肇源县慈善会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145.肇州县慈善会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146.鸡西市慈善总会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147.鸡东县慈善协会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148.密山市慈善会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149.虎林市慈善会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150.穆棱市慈善总会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151.佳木斯市慈善总会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152.佳木斯市义工联合会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153.同江市慈善会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154.鹤岗市慈善总会</w:t>
      </w:r>
    </w:p>
    <w:p>
      <w:pPr>
        <w:adjustRightInd w:val="0"/>
        <w:snapToGrid w:val="0"/>
        <w:spacing w:line="360" w:lineRule="auto"/>
        <w:rPr>
          <w:rFonts w:ascii="仿宋" w:hAnsi="仿宋" w:eastAsia="仿宋" w:cs="Times New Roman"/>
          <w:b/>
          <w:bCs/>
          <w:kern w:val="0"/>
          <w:sz w:val="32"/>
          <w:szCs w:val="32"/>
        </w:rPr>
      </w:pPr>
      <w:r>
        <w:rPr>
          <w:rFonts w:hint="eastAsia" w:ascii="仿宋" w:hAnsi="仿宋" w:eastAsia="仿宋" w:cs="Times New Roman"/>
          <w:b/>
          <w:bCs/>
          <w:kern w:val="0"/>
          <w:sz w:val="32"/>
          <w:szCs w:val="32"/>
        </w:rPr>
        <w:t>附件2</w:t>
      </w:r>
    </w:p>
    <w:p>
      <w:pPr>
        <w:adjustRightInd w:val="0"/>
        <w:snapToGrid w:val="0"/>
        <w:spacing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黑龙江省2020年公益性捐赠税前扣除资格名单</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1.大庆市老年福利基金会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 .黑龙江省青少年发展基金会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 .黑龙江省妇女儿童基金会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 .齐齐哈尔市见义勇为奖励基金会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 .黑龙江省残疾人福利基金会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 .黑龙江省公安民警救助基金会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 .哈尔滨市道里区残疾人福利基金会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 .哈尔滨市残疾人福利基金会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 .黑龙江省教师奖励基金会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10.黑龙江恢先地震工程学基金会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11.黑龙江省华侨经济文化基金会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12.黑龙江飞鹤乳业有限公司助学基金会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13.哈尔滨市道里区慈善基金会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14.鸡西市残疾人福利基金会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15.哈尔滨市见义勇为奖励基金会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16.哈尔滨市老年基金会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17.黑龙江省见义勇为奖励基金会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18.黑龙江中华文化发展基金会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19.哈尔滨工程大学教育发展基金会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20.哈尔滨市香坊区残疾人福利基金会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21.鹤岗市检察人员救助基金会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22.哈尔滨工业大学教育发展基金会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23.黑龙江垦区一戎水稻科技奖励基金会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24.黑龙江省东北林业大学教育发展基金会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25.哈尔滨市公安民警救助基金会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26.黑龙江省青年创业就业基金会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27.哈尔滨医科大学发展基金会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28.哈尔滨师范大学教育发展基金会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29.一达助学（伊春）基金会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30.黑龙江省体育发展基金会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31.黑龙江省东北石油大学教育发展基金会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32.哈尔滨理工大学教育发展基金会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33.黑龙江大学教育发展基金会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34.大庆市残疾人福利基金会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35.黑龙江省亚布力(中国)企业家论坛发展研究基金会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36.牡丹江市公安民警救助基金会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37.黑龙江中医药大学教育发展基金会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38.哈尔滨商业大学教育发展基金会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39.黑龙江工程学院教育发展基金会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40.牡丹江师范学院教育发展基金会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41.齐齐哈尔大学教育发展基金会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42.黑龙江省哈尔滨工业大学附属中学校教育发展基金</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43.大庆市公安民警救助基金会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44.哈尔滨市南岗区残疾人福利基金会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45.黑龙江省佳木斯大学教育发展基金会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46.黑龙江省大庆市妇女儿童基金会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47.黑龙江省齐齐哈尔市残疾人福利基金会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48.黑龙江省哈尔滨师范大学附属中学教育发展基金会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49.黑龙江省齐齐哈尔医学院教育发展基金会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50.黑龙江省齐齐哈尔市公安民警救助基金会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51.黑龙江省大庆市见义勇为奖励基金会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52.黑龙江省求真经济研究基金会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53.黑龙江省佳木斯市阳光教育发展基金会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54.黑龙江省哈尔滨体育学院教育发展基金会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55.齐齐哈尔工程学院教育发展基金会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56.黑龙江省东北农业大学教育发展基金会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57.黑龙江省垦区公安民警救助基金会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58.黑龙江省许勇爱心慈善基金会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59.黑龙江省鹤岗市公安民警救助基金会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60.黑龙江科技大学教育发展基金会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61.黑龙江省黑河市公安民警救助基金会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62.黑龙江省阳光健康公益基金会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63.黑龙江省家缘扶贫救助基金会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64.黑龙江省博助贫困精神病人救助基金会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65.黑龙江省哈尔滨妇女儿童基金会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66.黑龙江幼儿师范高等专科学校教育发展基金会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67.黑龙江省七台河市公安民警救助基金会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68.黑龙江省博爱抗癌救助基金会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69.哈尔滨职业技术学院教育发展基金会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70.黑龙江省伊春市残疾人福利基金会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71.黑龙江外国语学院教育发展基金会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72.黑龙江省哈哈福爱心慈善基金会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73.黑龙江省佳木斯市海王卫生事业发展基金会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74.黑龙江省协力扶贫救助基金会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75.黑龙江东方学院教育发展基金会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76.黑龙江省佳木斯市公安民警救助基金会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77.黑龙江省家和公益救助基金会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78.黑龙江省永续自然资源保护公益基金会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79.黑龙江省仁芯骨健康医疗救助基金会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80.黑龙江省天使医疗救助基金会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81.黑龙江省一元慈善基金会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82.黑龙江省哈尔滨美加外国语学校教育发展基金会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83.黑龙江省中合慈善基金会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84.黑龙江省鸡西市公安民警救助基金会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85.黑龙江省海星救助基金会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86.黑龙江省绥化市公安民警救助基金会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87.黑龙江省哈药公益基金会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88.黑龙江省哈尔滨市环卫工人救助基金会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89.黑龙江省牡丹江医学院教育发展基金会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90.黑龙江省应赫慈善基金会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91.黑龙江省伊春市公安民警救助基金会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92.黑龙江省哈尔滨生态环境保护公益基金会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93.黑龙江省正宇国防教育基金会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94.黑龙江省济民慈善基金会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95.黑龙江省绥芬河市德善公益基金会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96.黑龙江省哈三联慈善基金会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97.黑龙江八一农垦大学教育发展基金会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98.黑龙江省飞鹤慈善基金会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99.黑龙江省康安慈善基金会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100黑龙江省大爱龙江慈善基金会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101.黑龙江工商学院教育发展基金会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102.黑龙江省监狱警察救助基金会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103.黑龙江省卓越公益基金会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104.黑龙江省心康园精神康复救助基金会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105.黑龙江省济众医疗救助慈善基金会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106.黑龙江省贾秀芳慈善基金会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107.黑龙江省慈善总会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108.黑龙江省积善之家帮扶中心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109.北大荒慈善会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110.黑龙江省同心公益组织发展促进中心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111.哈尔滨市慈善总会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112.哈尔滨市爱心公益志愿者协会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113.哈尔滨市道外区慈善会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114.齐齐哈尔市慈善总会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115.齐齐哈尔市车友爱心协会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116.齐齐哈尔市志祥爱心协会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117.齐齐哈尔市爱心联合会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118.齐齐哈尔市龙商爱心协会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119.齐齐哈尔市泓爱志愿者协会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120.齐齐哈尔市兴华爱国志愿者协会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121.齐齐哈尔市鹤之光爱心志愿者协会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122.齐齐哈尔市新立众成爱心协会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123.齐齐哈尔市长跑爱心协会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124.齐齐哈尔市华宇孝道志愿者协会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125.齐齐哈尔市微爱志愿者协会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126.齐齐哈尔市无偿献血志愿者协会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127.齐齐哈尔市青年志愿者协会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128.齐齐哈尔市孝行志愿者协会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129.齐齐哈尔市春雨志愿者协会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130.富拉尔基区慈善总会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131.富裕县慈善会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132.依安县慈善会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133.依安县爱心协会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134.双鸭山市慈善总会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135.七台河市慈善总会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136.黑河市慈善协会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137.黑河市爱辉区慈善协会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138.北安市慈善协会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139.嫩江市慈善协会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140.五大连池市慈善协会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141.大兴安岭地区慈善总会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142.大兴安岭地区加格达奇区慈善协会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143.大兴安岭地区松岭区慈善总会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144.塔河县慈善总会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145.漠河市慈善总会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146.伊春市慈善总会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147.铁力市慈善总会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148.绥化市慈善总会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149.绥化市北林区慈善总会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150.安达市慈善总会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151.肇东市慈善总会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152.海伦市慈善总会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153.望奎县慈善总会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154.兰西县慈善总会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155.青冈县慈善会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156.庆安县慈善总会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157.明水县慈善总会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158.绥棱县慈善会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159.大庆市慈善会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160.大庆市萨尔图区慈善会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161.大庆市让胡路区慈善会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162.大庆市龙风区慈善会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163.大庆市红岗区慈善会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164.大庆市大同区慈善会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165.杜尔伯特蒙古族自治县慈善会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166.林甸县慈善会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167.肇源县慈善会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168.肇州县慈善会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169.鸡西市慈善总会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170.鸡东县慈善协会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171.密山市慈善会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172.虎林市慈善会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173.穆棱市慈善总会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174.佳木斯市慈善总会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175.佳木斯市义工联合会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176.同江市慈善会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177.鹤岗市慈善总会</w:t>
      </w:r>
    </w:p>
    <w:p>
      <w:pPr>
        <w:adjustRightInd w:val="0"/>
        <w:snapToGrid w:val="0"/>
        <w:spacing w:line="360" w:lineRule="auto"/>
        <w:ind w:firstLine="640" w:firstLineChars="200"/>
        <w:rPr>
          <w:rStyle w:val="215"/>
          <w:rFonts w:ascii="仿宋" w:hAnsi="仿宋" w:eastAsia="仿宋"/>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69" w:name="_Toc34141433"/>
      <w:bookmarkStart w:id="70" w:name="_Toc33451097"/>
      <w:r>
        <w:rPr>
          <w:rFonts w:hint="eastAsia" w:ascii="仿宋" w:hAnsi="仿宋" w:eastAsia="仿宋" w:cs="Times New Roman"/>
          <w:kern w:val="0"/>
        </w:rPr>
        <w:t>黑龙江省财政厅 国家税务总局黑龙江省税务局关于公布2020年度第二批获得公益性捐赠税前扣除资格的公益性群众团体名单的公告</w:t>
      </w:r>
      <w:bookmarkEnd w:id="69"/>
      <w:bookmarkEnd w:id="70"/>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为进一步做好应对新型冠状病毒感染肺炎疫情有关工作，按照《财政部 国家税务总局关于通过公益性群众团体的公益性捐赠税前扣除有关问题的通知》（财税〔2009〕124号）规定，经省财政厅、省税务局联合审核确认，现将2020年度第二批获得公益性捐赠税前扣除资格的公益性群众团体（均为2020年新增单位）名单予以公布（详见附件）。纳税人2020年度通过第二批公益性群众团体发生的符合条件的公益捐赠支出，可向主管税务机关申报税前扣除。</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名单内的公益性群众团体要严格按照财税〔2009〕124号文件和组织章程规定，加强运营规范管理，特别是在全省抗击新型冠状病毒感染肺炎疫情有关工作中，要全面规范受赠财物管理和公益性票据使用，严禁逃避缴纳税款或弄虚作假为他人逃避缴纳税款提供便利。各级财政、税务部门要在日常工作中强化监管，如发现已公布名单中有不符合条件的，省财政厅、省税务局将取消其公益性捐赠税前扣除资格。</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特此公告。</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附件：黑龙江省2020年获得公益性捐赠税前扣除资格的群众团体名单</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黑龙江省财政厅</w:t>
      </w:r>
      <w:r>
        <w:rPr>
          <w:rFonts w:ascii="Calibri" w:hAnsi="Calibri" w:eastAsia="仿宋" w:cs="Calibri"/>
          <w:kern w:val="0"/>
          <w:sz w:val="32"/>
          <w:szCs w:val="32"/>
        </w:rPr>
        <w:t> </w:t>
      </w:r>
      <w:r>
        <w:rPr>
          <w:rFonts w:hint="eastAsia" w:ascii="仿宋" w:hAnsi="仿宋" w:eastAsia="仿宋" w:cs="Times New Roman"/>
          <w:kern w:val="0"/>
          <w:sz w:val="32"/>
          <w:szCs w:val="32"/>
        </w:rPr>
        <w:t xml:space="preserve"> 国家税务总局黑龙江省税务局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2020年2月12日</w:t>
      </w:r>
    </w:p>
    <w:p>
      <w:pPr>
        <w:widowControl/>
        <w:adjustRightInd w:val="0"/>
        <w:snapToGrid w:val="0"/>
        <w:spacing w:line="360" w:lineRule="auto"/>
        <w:jc w:val="left"/>
        <w:rPr>
          <w:rFonts w:ascii="仿宋" w:hAnsi="仿宋" w:eastAsia="仿宋" w:cs="Times New Roman"/>
          <w:b/>
          <w:kern w:val="0"/>
          <w:sz w:val="32"/>
          <w:szCs w:val="32"/>
        </w:rPr>
      </w:pPr>
      <w:r>
        <w:rPr>
          <w:rFonts w:ascii="仿宋" w:hAnsi="仿宋" w:eastAsia="仿宋" w:cs="Times New Roman"/>
          <w:b/>
          <w:kern w:val="0"/>
          <w:sz w:val="32"/>
          <w:szCs w:val="32"/>
        </w:rPr>
        <w:t>附件</w:t>
      </w:r>
    </w:p>
    <w:p>
      <w:pPr>
        <w:widowControl/>
        <w:adjustRightInd w:val="0"/>
        <w:snapToGrid w:val="0"/>
        <w:spacing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黑龙江省2020年获得公益性捐赠税前扣除资格的群众团体名单</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1.哈尔滨市道里区红十字会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2.哈尔滨市南岗区红十字会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3.哈尔滨市阿城区红十字会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4.齐齐哈尔市红十字会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5.齐齐哈尔市龙沙区红十字会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6.建华区红十字会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7.齐齐哈尔市铁锋区红十字会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8.富拉尔基区红十字会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9.齐齐哈尔市昂昂溪区红十字会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10.齐齐哈尔市梅里斯达斡尔族区红十字会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11.克东县红十字会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12.甘南县红十字会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13.讷河市红十字会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14.大兴安岭地区红十字会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15.大兴安岭地区加格达奇区红十字会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16.塔河县红十字会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17.漠河市红十字会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18.伊春市红十字会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19.绥化市红十字会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20.安达市红十字会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21.肇东市红十字会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22.兰西县红十字会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23.青冈县红十字会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24.明水县红十字会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25.海伦市红十字会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26.望奎县红十字会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27.绥棱县红十字会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28.庆安县红十字会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29.大庆市红十字会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30.杜尔伯特蒙古族自治县红十字会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31.肇源县红十字会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32.鸡西市红十字会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33.鸡东县红十字会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34.密山市红十字会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35.牡丹江市红十字会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36.东宁市红十字会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37.汤原县红十字会</w:t>
      </w:r>
    </w:p>
    <w:p>
      <w:pPr>
        <w:adjustRightInd w:val="0"/>
        <w:snapToGrid w:val="0"/>
        <w:spacing w:line="360" w:lineRule="auto"/>
        <w:ind w:firstLine="640" w:firstLineChars="200"/>
        <w:rPr>
          <w:rStyle w:val="215"/>
          <w:rFonts w:ascii="仿宋" w:hAnsi="仿宋" w:eastAsia="仿宋"/>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71" w:name="_Toc34141434"/>
      <w:bookmarkStart w:id="72" w:name="_Toc33451098"/>
      <w:r>
        <w:rPr>
          <w:rFonts w:hint="eastAsia" w:ascii="仿宋" w:hAnsi="仿宋" w:eastAsia="仿宋" w:cs="Times New Roman"/>
          <w:kern w:val="0"/>
        </w:rPr>
        <w:t>国家税务总局黑龙江省税务局共克时艰 战胜疫情 致纳税人的一封信</w:t>
      </w:r>
      <w:r>
        <w:rPr>
          <w:rFonts w:ascii="仿宋" w:hAnsi="仿宋" w:eastAsia="仿宋" w:cs="Times New Roman"/>
          <w:kern w:val="0"/>
        </w:rPr>
        <w:br w:type="textWrapping"/>
      </w:r>
      <w:r>
        <w:rPr>
          <w:rFonts w:hint="eastAsia" w:ascii="仿宋" w:hAnsi="仿宋" w:eastAsia="仿宋" w:cs="Times New Roman"/>
          <w:kern w:val="0"/>
        </w:rPr>
        <w:t>——2019年度黑龙江省企业所得税汇算清缴事项温馨提示</w:t>
      </w:r>
      <w:bookmarkEnd w:id="71"/>
      <w:bookmarkEnd w:id="72"/>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尊敬的纳税人: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坚决贯彻党中央、国务院对疫情防控工作的决策部署，深入落实国家税务总局及黑龙江省委、省政府在疫情防控期间相关工作要求，在确保做好新型冠状病毒疫情防控工作的基础上，为帮助广大纳税人顺利完成2019年度企业所得税汇算清缴，根据《中华人民共和国企业所得税法》及实施条例、《国家税务总局关于印发〈企业所得税汇算清缴管理办法〉的通知》（国税发〔2009〕79号）的有关规定，现将我省汇算清缴有关事项温馨提示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一、汇算清缴范围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凡属我省征管范围的查账征收和核定应税所得率征收的居民企业所得税纳税人(以下简称纳税人)，在2019年度内从事生产、经营(包括试生产、试经营)，或在纳税年度中间终止经营活动的纳税人，无论是否在减税、免税期间，也无论盈利或亏损，均应参加企业所得税汇算清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二、汇算清缴期限</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纳税人应在2020年5月31日前完成2019年度企业所得税纳税申报，并结清企业所得税税款。年度中间停止经营活动的，在停止经营活动后60日内完成年度企业所得税申报并结清企业所得税税款。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三、汇算清缴报送的方式</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（一）网上申报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纳税人可以通过登录国家税务总局黑龙江省税务局网站，在主页面直接点击黑龙江省电子税务局进行安装申报。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也可以直接登录网站进行下载安装：</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"https://www.hljetax.gov.cn/" </w:instrText>
      </w:r>
      <w:r>
        <w:fldChar w:fldCharType="separate"/>
      </w:r>
      <w:r>
        <w:rPr>
          <w:rFonts w:hint="eastAsia" w:ascii="仿宋" w:hAnsi="仿宋" w:eastAsia="仿宋" w:cs="Times New Roman"/>
          <w:kern w:val="0"/>
          <w:sz w:val="32"/>
          <w:szCs w:val="32"/>
        </w:rPr>
        <w:t>https://www.hljetax.gov.cn/</w:t>
      </w:r>
      <w:r>
        <w:rPr>
          <w:rFonts w:hint="eastAsia" w:ascii="仿宋" w:hAnsi="仿宋" w:eastAsia="仿宋" w:cs="Times New Roman"/>
          <w:kern w:val="0"/>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（二）办税服务厅直接申报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可到办税服务厅进行直接申报。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四、汇算清缴应报送的资料及表单填报事项要点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（一）申报资料及表单填报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企业所得税年度纳税申报表。查账征收企业根据《中华人民共和国企业所得税年度纳税申报表（A类，2017年版）》填报情况，选择封面和已填报的报表打印并在封面上盖章、签字、装订成册；核定征收企业应在填报的《中华人民共和国企业所得税月（季）度和年度纳税申报表（B类，2018年）》加盖纳税人公章并由法定代表人签字；跨地区经营汇总纳税企业的分支机构填报《分支机构企业所得税年度纳税申报表（A类）》及相关附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采取查账征收方式的小型微利企业可免于填报《企业所得税年度纳税申报基础信息表》（A000000）中的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2.年度财务会计报告。</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跨地区经营汇总纳税的建筑企业总机构，其直接管理的跨地区设立的项目部，发生按项目实际经营收入的0.2%按月或按季向项目所在地预分企业所得税的，在完成企业所得税年度纳税申报的同时向主管税务机关报送该项目部实际缴纳企业所得税相关凭证（复印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4.总机构在年度纳税申报表时，还应报送其所属跨地区经营二级分支机构就地预缴所得税情况及其缴款书复印件（盖章注明与原件一致）。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5.涉及关联方业务往来的，同时报送《中华人民共和国企业年度关联业务往来报告表》。</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（二）优惠事项申报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享受企业所得税各项优惠政策不需要备案。按照《国家税务总局关于发布修订后的&lt;企业所得税优惠政策事项办理办法&gt;的公告》（国家税务总局公告2018年第23号）规定，纳税人通过填写申报表相关栏次享受企业所得税优惠事项，采取“自行判别、申报享受、相关资料留存备查”的办理方式。</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（三）资产损失申报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按照《国家税务总局关于企业所得税资产损失资料留存备查有关事项的公告》（国家税务总局公告2018年第15号）规定，对于企业当年发生的资产损失，纳税人向税务机关申报扣除资产损失时，仅需填报企业所得税年度纳税申报表《资产损失税前扣除及纳税调整明细表》，不再报送资产损失相关资料，相关资料由企业留存备查。</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（四）更正申报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在汇算清缴期内，纳税人发现申报错误进行更正申报，涉及补税的不加收滞纳金；5月31日以后发现错误更正申报，涉及补缴税款的，自6月1日起按日加收滞纳金。我省纳税人在2020年12月31日前均可通过电子税局更正2019年企业所得税申报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纳税人因不可抗力，无法在申报期内办理年度纳税申报或备齐年度纳税申报资料的，可按照征管法的规定，办理延期纳税申报。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纳税人采用电子方式办理企业所得税年度纳税申报的，应按照有关规定保存有关资料或附报纸质纳税申报资料。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五、汇算清缴结清税款阶段</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年度纳税申报资料经主管税务机关受理后，纳税人已预缴的税款少于全年应缴税款的，应在2020年5月31日前结清补缴的企业所得税税款。预缴税款超过应纳税款的，应及时到主管税务机关办理退税，或者经纳税人同意后抵缴其下一年度应缴企业所得税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跨省总机构按照本年应分摊的企业所得税额计算本年应补（退）的企业所得税额，一律结清应缴应退税款。跨省二级分支机构自年度终了之日起5个月内，按照其总机构填报的《企业所得税汇总纳税分支机构所得税分配表》以及本年应分配所得税额、本年已就地预缴所得税额计算该分支机构本年应补（退）的所得税额，一律结清应缴应退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纳税人如有特殊困难，无法在汇算清缴期间补缴税款的，可按征管法的有关规定，办理延期缴纳税款手续。</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纳税人不按规定期限办理申报、拒不申报，不按规定期限结清税款的，主管税务机关将依照税收征管法及实施细则的有关规定予以处理。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六、其他事项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新冠肺炎疫情期间，建议纳税人尽最大可能适用“非接触式”途径办税和获得有关汇算清缴相关信息及帮助。纳税人可通过黑龙江税务微信公众号及时获取企业所得税相关政策信息，在企业所得税汇算清缴中存在的问题可拨打全国统一热线12366，我们会在第一时间及时解答您的咨询。</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以上未尽事宜，请及时与主管税务机关沟通，以确保企业所得税汇算清缴顺利进行。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感谢您一直以来对税务部门工作的理解和支持！</w:t>
      </w:r>
    </w:p>
    <w:p>
      <w:pPr>
        <w:adjustRightInd w:val="0"/>
        <w:snapToGrid w:val="0"/>
        <w:spacing w:line="360" w:lineRule="auto"/>
        <w:ind w:firstLine="640" w:firstLineChars="200"/>
        <w:rPr>
          <w:rStyle w:val="215"/>
          <w:rFonts w:ascii="仿宋" w:hAnsi="仿宋" w:eastAsia="仿宋"/>
          <w:color w:val="auto"/>
          <w:sz w:val="32"/>
          <w:szCs w:val="32"/>
          <w:u w:val="none"/>
        </w:rPr>
      </w:pPr>
    </w:p>
    <w:p>
      <w:pPr>
        <w:adjustRightInd w:val="0"/>
        <w:snapToGrid w:val="0"/>
        <w:spacing w:line="360" w:lineRule="auto"/>
        <w:ind w:firstLine="640" w:firstLineChars="200"/>
        <w:rPr>
          <w:rFonts w:ascii="仿宋" w:hAnsi="仿宋" w:eastAsia="仿宋" w:cs="Times New Roman"/>
          <w:kern w:val="0"/>
          <w:sz w:val="32"/>
          <w:szCs w:val="32"/>
        </w:rPr>
      </w:pPr>
    </w:p>
    <w:p>
      <w:pPr>
        <w:adjustRightInd w:val="0"/>
        <w:snapToGrid w:val="0"/>
        <w:spacing w:line="360" w:lineRule="auto"/>
        <w:ind w:firstLine="643" w:firstLineChars="200"/>
        <w:rPr>
          <w:rStyle w:val="222"/>
          <w:rFonts w:ascii="仿宋" w:hAnsi="仿宋" w:eastAsia="仿宋"/>
          <w:b/>
          <w:bCs/>
          <w:color w:val="auto"/>
          <w:sz w:val="32"/>
          <w:szCs w:val="32"/>
          <w:u w:val="none"/>
        </w:rPr>
      </w:pPr>
      <w:r>
        <w:rPr>
          <w:rStyle w:val="222"/>
          <w:rFonts w:ascii="仿宋" w:hAnsi="仿宋" w:eastAsia="仿宋"/>
          <w:b/>
          <w:bCs/>
          <w:color w:val="auto"/>
          <w:sz w:val="32"/>
          <w:szCs w:val="32"/>
          <w:u w:val="none"/>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73" w:name="_Toc34141435"/>
      <w:r>
        <w:rPr>
          <w:rFonts w:hint="eastAsia" w:ascii="仿宋" w:hAnsi="仿宋" w:eastAsia="仿宋"/>
          <w:color w:val="000000" w:themeColor="text1"/>
          <w:sz w:val="32"/>
          <w:szCs w:val="32"/>
        </w:rPr>
        <w:t>（九）上海市</w:t>
      </w:r>
      <w:bookmarkEnd w:id="73"/>
    </w:p>
    <w:p>
      <w:pPr>
        <w:pStyle w:val="5"/>
        <w:adjustRightInd w:val="0"/>
        <w:snapToGrid w:val="0"/>
        <w:spacing w:before="0" w:after="0" w:line="360" w:lineRule="auto"/>
        <w:jc w:val="center"/>
        <w:rPr>
          <w:rFonts w:ascii="仿宋" w:hAnsi="仿宋" w:eastAsia="仿宋"/>
          <w:bCs w:val="0"/>
        </w:rPr>
      </w:pPr>
      <w:bookmarkStart w:id="74" w:name="_Toc34141436"/>
      <w:r>
        <w:rPr>
          <w:rFonts w:hint="eastAsia" w:ascii="仿宋" w:hAnsi="仿宋" w:eastAsia="仿宋"/>
          <w:bCs w:val="0"/>
        </w:rPr>
        <w:t>国家税务总局上海市税务局全力防控疫情支持服务企业平稳健康发展税收政策措施操作细则（三）</w:t>
      </w:r>
      <w:bookmarkEnd w:id="74"/>
    </w:p>
    <w:tbl>
      <w:tblPr>
        <w:tblStyle w:val="88"/>
        <w:tblW w:w="5278" w:type="pct"/>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Layout w:type="fixed"/>
        <w:tblCellMar>
          <w:top w:w="0" w:type="dxa"/>
          <w:left w:w="0" w:type="dxa"/>
          <w:bottom w:w="0" w:type="dxa"/>
          <w:right w:w="0" w:type="dxa"/>
        </w:tblCellMar>
      </w:tblPr>
      <w:tblGrid>
        <w:gridCol w:w="614"/>
        <w:gridCol w:w="1656"/>
        <w:gridCol w:w="4677"/>
        <w:gridCol w:w="2677"/>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rHeight w:val="531" w:hRule="atLeast"/>
          <w:tblHeader/>
          <w:jc w:val="center"/>
        </w:trPr>
        <w:tc>
          <w:tcPr>
            <w:tcW w:w="614"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序号</w:t>
            </w:r>
          </w:p>
        </w:tc>
        <w:tc>
          <w:tcPr>
            <w:tcW w:w="1656"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服务名称</w:t>
            </w:r>
          </w:p>
        </w:tc>
        <w:tc>
          <w:tcPr>
            <w:tcW w:w="4677"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服务说明</w:t>
            </w:r>
          </w:p>
        </w:tc>
        <w:tc>
          <w:tcPr>
            <w:tcW w:w="2677"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相关链接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增值税期末留抵税额退税</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按照国家政策规定，疫情防控重点保障物资生产企业全额退还增值税增量留抵税额。符合政策规定的企业，可以按月向主管税务机关申请全额退还增值税增量留抵税额。</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rPr>
            </w:pPr>
            <w:r>
              <w:fldChar w:fldCharType="begin"/>
            </w:r>
            <w:r>
              <w:instrText xml:space="preserve"> HYPERLINK "https://etax.shanghai.chinatax.gov.cn/wszx-web/bszm/apps/views/beforeLogin/indexBefore/pageIndex.html" \l "/" </w:instrText>
            </w:r>
            <w:r>
              <w:fldChar w:fldCharType="separate"/>
            </w:r>
            <w:r>
              <w:rPr>
                <w:rStyle w:val="222"/>
                <w:rFonts w:hint="eastAsia" w:ascii="仿宋" w:hAnsi="仿宋" w:eastAsia="仿宋"/>
                <w:color w:val="auto"/>
                <w:sz w:val="32"/>
                <w:szCs w:val="32"/>
                <w:lang w:val="en-US" w:eastAsia="zh-CN"/>
              </w:rPr>
              <w:t>https://etax.shanghai.chinatax.gov.cn/wszx-web/bszm/apps/views/beforeLogin/indexBefore/pageIndex.html#/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2</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增值税优惠</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对纳税人运输疫情防控重点物资和提供公共交通运输服务、生活服务，以及为居民提供必需生活物资快递收派服务取得的收入，免征增值税。对于该项税收优惠，由纳税人于增值税申报时依法依规享受。</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"http://etax.shanghai.chinatax.gov.cn/e3/eTaxCM/install" </w:instrText>
            </w:r>
            <w:r>
              <w:fldChar w:fldCharType="separate"/>
            </w:r>
            <w:r>
              <w:rPr>
                <w:rStyle w:val="222"/>
                <w:rFonts w:hint="eastAsia" w:ascii="仿宋" w:hAnsi="仿宋" w:eastAsia="仿宋"/>
                <w:color w:val="auto"/>
                <w:sz w:val="32"/>
                <w:szCs w:val="32"/>
                <w:lang w:val="en-US" w:eastAsia="zh-CN"/>
              </w:rPr>
              <w:t>http://etax.shanghai.chinatax.gov.cn/e3/eTaxCM/install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3</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增值税、消费税优惠</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相关捐赠货物免征增值税、消费税。单位和个体工商户符合规定的捐赠货物，于增值税、消费税申报时享受。</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"http://etax.shanghai.chinatax.gov.cn/e3/eTaxCM/install" </w:instrText>
            </w:r>
            <w:r>
              <w:fldChar w:fldCharType="separate"/>
            </w:r>
            <w:r>
              <w:rPr>
                <w:rStyle w:val="222"/>
                <w:rFonts w:hint="eastAsia" w:ascii="仿宋" w:hAnsi="仿宋" w:eastAsia="仿宋"/>
                <w:color w:val="auto"/>
                <w:sz w:val="32"/>
                <w:szCs w:val="32"/>
                <w:lang w:val="en-US" w:eastAsia="zh-CN"/>
              </w:rPr>
              <w:t>http://etax.shanghai.chinatax.gov.cn/e3/eTaxCM/install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4</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企业所得税优惠</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按照国家政策规定，疫情防控重点物资生产企业扩大产能新购置设备，允许在所得税税前一次性扣除。对于该项税收优惠，由企业自行判别，于企业所得税预缴时申报享受。</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"http://etax.shanghai.chinatax.gov.cn/e3/eTaxCM/install" </w:instrText>
            </w:r>
            <w:r>
              <w:fldChar w:fldCharType="separate"/>
            </w:r>
            <w:r>
              <w:rPr>
                <w:rStyle w:val="222"/>
                <w:rFonts w:hint="eastAsia" w:ascii="仿宋" w:hAnsi="仿宋" w:eastAsia="仿宋"/>
                <w:color w:val="auto"/>
                <w:sz w:val="32"/>
                <w:szCs w:val="32"/>
                <w:lang w:val="en-US" w:eastAsia="zh-CN"/>
              </w:rPr>
              <w:t>http://etax.shanghai.chinatax.gov.cn/e3/eTaxCM/install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5</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企业所得税亏损结转</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对受疫情影响较大的困难行业企业2020年度发生的亏损，最长结转年限由5年延长至8年。</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"http://etax.shanghai.chinatax.gov.cn/e3/eTaxCM/install" </w:instrText>
            </w:r>
            <w:r>
              <w:fldChar w:fldCharType="separate"/>
            </w:r>
            <w:r>
              <w:rPr>
                <w:rStyle w:val="222"/>
                <w:rFonts w:hint="eastAsia" w:ascii="仿宋" w:hAnsi="仿宋" w:eastAsia="仿宋"/>
                <w:color w:val="auto"/>
                <w:sz w:val="32"/>
                <w:szCs w:val="32"/>
                <w:lang w:val="en-US" w:eastAsia="zh-CN"/>
              </w:rPr>
              <w:t>http://etax.shanghai.chinatax.gov.cn/e3/eTaxCM/install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6</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企业所得税税前扣除</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鼓励社会力量积极为疫情防控捐赠现金和物资，并可按照规定在所得税税前全额扣除。企业符合规定的捐赠支出，可于企业所得税预缴申报或年度汇缴申报时享受。</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"http://etax.shanghai.chinatax.gov.cn/e3/eTaxCM/install" </w:instrText>
            </w:r>
            <w:r>
              <w:fldChar w:fldCharType="separate"/>
            </w:r>
            <w:r>
              <w:rPr>
                <w:rStyle w:val="222"/>
                <w:rFonts w:hint="eastAsia" w:ascii="仿宋" w:hAnsi="仿宋" w:eastAsia="仿宋"/>
                <w:color w:val="auto"/>
                <w:sz w:val="32"/>
                <w:szCs w:val="32"/>
                <w:lang w:val="en-US" w:eastAsia="zh-CN"/>
              </w:rPr>
              <w:t>http://etax.shanghai.chinatax.gov.cn/e3/eTaxCM/install</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7</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个人所得税减免事项（一）</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个人通过公益性社会组织、县级以上人民政府及其部门等国家机关，捐赠用于应对新型冠状病毒感染的肺炎疫情的现金和物品，允许在计算应纳税所得额时全额扣除。</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自然人电子税务局扣缴客户端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8</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个人所得税减免事项（二）</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个人直接向承担疫情防治任务的医院捐赠用于用对新型冠状病毒感染的肺炎疫情的物品，允许在计算应纳税所得额时全额扣除。</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自然人电子税务局扣缴客户端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9</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个人所得税减免事项（三）</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对参加疫情防治工作的医务人员和防疫工作者按照政府规定标准取得的临时性工作补助和奖金，免征个人所得税。政府规定标准包括各级政府规定的补助和奖金标准。</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自然人电子税务局扣缴客户端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10</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个人所得税减免事项（四）</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对省级及省级以上人民政府规定的对参与疫情防控人员的临时性工作补助和奖金，比照个人所得税减免事项（三）执行。</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自然人电子税务局扣缴客户端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11</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个人所得税减免事项（五）</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单位发给个人用于预防新型冠状病毒感染的肺炎的药品、医疗用品和防护用品等实物（不包括现金），不计入工资、薪金收入，免征个人所得税。</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自然人电子税务局扣缴客户端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12</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企业纳税困难减免房产税核准（疫情防控）</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疫情防控期间，对于房产或土地被政府应急征用的企业，缴纳房产税、城镇土地使用税确有困难的，可申请减免相应的房产税、城镇土地使用税。</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 </w:instrText>
            </w:r>
            <w:r>
              <w:fldChar w:fldCharType="separate"/>
            </w:r>
            <w:r>
              <w:rPr>
                <w:rStyle w:val="222"/>
                <w:rFonts w:hint="eastAsia" w:ascii="仿宋" w:hAnsi="仿宋" w:eastAsia="仿宋"/>
                <w:color w:val="auto"/>
                <w:sz w:val="32"/>
                <w:szCs w:val="32"/>
                <w:lang w:val="en-US" w:eastAsia="zh-CN"/>
              </w:rPr>
              <w:t>http://etax.shanghai.chinatax.gov.cn/</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13</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企业纳税困难减免城镇土地使用税核准（疫情防控）</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主动为租户减免房产或土地租金的企业，缴纳房产税、城镇土地使用税确有困难的，可申请减免相应的房产税、城镇土地使用税。</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"http://etax.shanghai.chinatax.gov.cn/" </w:instrText>
            </w:r>
            <w:r>
              <w:fldChar w:fldCharType="separate"/>
            </w:r>
            <w:r>
              <w:rPr>
                <w:rStyle w:val="222"/>
                <w:rFonts w:hint="eastAsia" w:ascii="仿宋" w:hAnsi="仿宋" w:eastAsia="仿宋"/>
                <w:color w:val="auto"/>
                <w:sz w:val="32"/>
                <w:szCs w:val="32"/>
                <w:lang w:val="en-US" w:eastAsia="zh-CN"/>
              </w:rPr>
              <w:t>http://etax.shanghai.chinatax.gov.cn/</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14</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对纳税人延期申报的核准</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纳税人、扣缴义务人按照规定的期限办理纳税申报，或者报送代扣代缴、代收代缴税款报告表确有困难需要延期的，应当在申请延期的申报期限之内向税务机关提出书面延期申请，经税务机关核准，可以延期申报。</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"https://etax.shanghai.chinatax.gov.cn/login-web/zwfw?qd=SHZWFW&amp;goto=https:/etax.shanghai.chinatax.gov.cn/wszx-web/apps/views/xzspYqsbhz/yqsbhz.html?id=99168&amp;code=30090102&amp;visitFrom=shzww" </w:instrText>
            </w:r>
            <w:r>
              <w:fldChar w:fldCharType="separate"/>
            </w:r>
            <w:r>
              <w:rPr>
                <w:rStyle w:val="222"/>
                <w:rFonts w:hint="eastAsia" w:ascii="仿宋" w:hAnsi="仿宋" w:eastAsia="仿宋"/>
                <w:color w:val="auto"/>
                <w:sz w:val="32"/>
                <w:szCs w:val="32"/>
                <w:lang w:val="en-US" w:eastAsia="zh-CN"/>
              </w:rPr>
              <w:t>https://etax.shanghai.chinatax.gov.cn/login-web/zwfw?qd=SHZWFW&amp;goto%3dhttps%3a%2f%2fetax.shanghai.chinatax.gov.cn%2fwszx-web%2fapps%2fviews%2fxzspYqsbhz%2fyqsbhz.html%3fid%3d99168%26code%3d30090102%26visitFrom%3dshzww</w:t>
            </w:r>
            <w:r>
              <w:rPr>
                <w:rStyle w:val="222"/>
                <w:rFonts w:hint="eastAsia" w:ascii="仿宋" w:hAnsi="仿宋" w:eastAsia="仿宋"/>
                <w:color w:val="auto"/>
                <w:sz w:val="32"/>
                <w:szCs w:val="32"/>
                <w:lang w:val="en-US" w:eastAsia="zh-CN"/>
              </w:rPr>
              <w:fldChar w:fldCharType="end"/>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cantSplit/>
          <w:tblHeader/>
          <w:jc w:val="center"/>
        </w:trPr>
        <w:tc>
          <w:tcPr>
            <w:tcW w:w="614"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15</w:t>
            </w:r>
          </w:p>
        </w:tc>
        <w:tc>
          <w:tcPr>
            <w:tcW w:w="1656"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对纳税人延期缴纳税款的核准</w:t>
            </w:r>
          </w:p>
        </w:tc>
        <w:tc>
          <w:tcPr>
            <w:tcW w:w="4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rPr>
                <w:rFonts w:hint="eastAsia" w:ascii="仿宋" w:hAnsi="仿宋" w:eastAsia="仿宋"/>
                <w:sz w:val="32"/>
                <w:szCs w:val="32"/>
                <w:lang w:val="en-US" w:eastAsia="zh-CN"/>
              </w:rPr>
              <w:t>纳税人因有特殊困难，不能按期缴纳税款的，应当在缴纳税款期限届满前提出申请，经省、自治区、直辖市税务局批准，可以延期缴纳税款，但最长不得超过3个月。纳税人有以下情形之一的，属于特殊困难：一是因不可抗力，导致纳税人发生较大损失，正常生产经营活动受到较大影响的；二是当期货币资金在扣除应付职工工资、社会保险费后，不足以缴纳税款的。</w:t>
            </w:r>
          </w:p>
        </w:tc>
        <w:tc>
          <w:tcPr>
            <w:tcW w:w="2677" w:type="dxa"/>
            <w:tcBorders>
              <w:tl2br w:val="nil"/>
              <w:tr2bl w:val="nil"/>
            </w:tcBorders>
            <w:shd w:val="clear" w:color="auto" w:fill="FFFFFF"/>
            <w:tcMar>
              <w:left w:w="108" w:type="dxa"/>
              <w:right w:w="108" w:type="dxa"/>
            </w:tcMar>
            <w:vAlign w:val="center"/>
          </w:tcPr>
          <w:p>
            <w:pPr>
              <w:pStyle w:val="81"/>
              <w:adjustRightInd w:val="0"/>
              <w:snapToGrid w:val="0"/>
              <w:spacing w:line="360" w:lineRule="auto"/>
              <w:contextualSpacing w:val="0"/>
              <w:rPr>
                <w:rFonts w:ascii="仿宋" w:hAnsi="仿宋" w:eastAsia="仿宋"/>
                <w:sz w:val="32"/>
                <w:szCs w:val="32"/>
                <w:lang w:val="en-US" w:eastAsia="zh-CN"/>
              </w:rPr>
            </w:pPr>
            <w:r>
              <w:fldChar w:fldCharType="begin"/>
            </w:r>
            <w:r>
              <w:instrText xml:space="preserve"> HYPERLINK "https://etax.shanghai.chinatax.gov.cn/login-web/zwfw?qd=SHZWFW&amp;goto=https:/etax.shanghai.chinatax.gov.cn/hgzx-web/index.html?id=99167&amp;code=99167&amp;visitFrom=shzww%23/swxzxk/dnsryqjnskhz/dnsryqjnskhz" </w:instrText>
            </w:r>
            <w:r>
              <w:fldChar w:fldCharType="separate"/>
            </w:r>
            <w:r>
              <w:rPr>
                <w:rStyle w:val="222"/>
                <w:rFonts w:hint="eastAsia" w:ascii="仿宋" w:hAnsi="仿宋" w:eastAsia="仿宋"/>
                <w:color w:val="auto"/>
                <w:sz w:val="32"/>
                <w:szCs w:val="32"/>
                <w:lang w:val="en-US" w:eastAsia="zh-CN"/>
              </w:rPr>
              <w:t>https://etax.shanghai.chinatax.gov.cn/login-web/zwfw?qd=SHZWFW&amp;goto%3dhttps%3a%2f%2fetax.shanghai.chinatax.gov.cn%2fhgzx-web%2findex.html%3fid%3d99167%26code%3d99167%26visitFrom%3dshzww%23%2fswxzxk%2fdnsryqjnskhz%2fdnsryqjnskhz</w:t>
            </w:r>
            <w:r>
              <w:rPr>
                <w:rStyle w:val="222"/>
                <w:rFonts w:hint="eastAsia" w:ascii="仿宋" w:hAnsi="仿宋" w:eastAsia="仿宋"/>
                <w:color w:val="auto"/>
                <w:sz w:val="32"/>
                <w:szCs w:val="32"/>
                <w:lang w:val="en-US" w:eastAsia="zh-CN"/>
              </w:rPr>
              <w:fldChar w:fldCharType="end"/>
            </w:r>
          </w:p>
        </w:tc>
      </w:tr>
    </w:tbl>
    <w:p>
      <w:pPr>
        <w:adjustRightInd w:val="0"/>
        <w:snapToGrid w:val="0"/>
        <w:spacing w:line="360" w:lineRule="auto"/>
        <w:ind w:firstLine="640" w:firstLineChars="200"/>
        <w:rPr>
          <w:rStyle w:val="215"/>
          <w:rFonts w:ascii="仿宋" w:hAnsi="仿宋" w:eastAsia="仿宋"/>
          <w:color w:val="auto"/>
          <w:sz w:val="32"/>
          <w:szCs w:val="32"/>
          <w:u w:val="none"/>
        </w:rPr>
      </w:pPr>
      <w:bookmarkStart w:id="75" w:name="_Toc33451047"/>
    </w:p>
    <w:p>
      <w:pPr>
        <w:pStyle w:val="5"/>
        <w:adjustRightInd w:val="0"/>
        <w:snapToGrid w:val="0"/>
        <w:spacing w:before="0" w:after="0" w:line="360" w:lineRule="auto"/>
        <w:jc w:val="center"/>
        <w:rPr>
          <w:rFonts w:ascii="仿宋" w:hAnsi="仿宋" w:eastAsia="仿宋"/>
          <w:bCs w:val="0"/>
        </w:rPr>
      </w:pPr>
      <w:bookmarkStart w:id="76" w:name="_Toc34141437"/>
      <w:r>
        <w:rPr>
          <w:rFonts w:hint="eastAsia" w:ascii="仿宋" w:hAnsi="仿宋" w:eastAsia="仿宋"/>
          <w:bCs w:val="0"/>
        </w:rPr>
        <w:t>国家税务总局上海市税务局全程网上办清单</w:t>
      </w:r>
      <w:bookmarkEnd w:id="75"/>
      <w:bookmarkEnd w:id="76"/>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的一系列重要指示批示精神，全面落实党中央、国务院部署，本市税务部门积极拓展“非接触式”办税缴费事项，在为纳税人、缴费人提供安全、高效、便利服务的同时，切实降低疫情传播风险。</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按照“尽可能网上办”的原则，上海市税务局梳理出第一批网上办税清单，201个涉税缴费事项可全程网上办，具体详见附件。具体事项的操作手册详见国家税务总局上海市电子税务局“公共服务-操作规程”栏目，办理渠道主要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1.电子税务局网址：</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"https://etax.shanghai.chinatax.gov.cn/" </w:instrText>
      </w:r>
      <w:r>
        <w:fldChar w:fldCharType="separate"/>
      </w:r>
      <w:r>
        <w:rPr>
          <w:rFonts w:hint="eastAsia" w:ascii="仿宋" w:hAnsi="仿宋" w:eastAsia="仿宋"/>
          <w:sz w:val="32"/>
          <w:szCs w:val="32"/>
        </w:rPr>
        <w:t>https://etax.shanghai.chinatax.gov.cn/</w:t>
      </w:r>
      <w:r>
        <w:rPr>
          <w:rFonts w:hint="eastAsia" w:ascii="仿宋" w:hAnsi="仿宋" w:eastAsia="仿宋"/>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电子申报客户端下载网址：</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"http://etax.shanghai.chinatax.gov.cn/e3/eTaxCM/install" </w:instrText>
      </w:r>
      <w:r>
        <w:fldChar w:fldCharType="separate"/>
      </w:r>
      <w:r>
        <w:rPr>
          <w:rFonts w:hint="eastAsia" w:ascii="仿宋" w:hAnsi="仿宋" w:eastAsia="仿宋"/>
          <w:sz w:val="32"/>
          <w:szCs w:val="32"/>
        </w:rPr>
        <w:t>http://etax.shanghai.chinatax.gov.cn/e3/eTaxCM/install</w:t>
      </w:r>
      <w:r>
        <w:rPr>
          <w:rFonts w:hint="eastAsia" w:ascii="仿宋" w:hAnsi="仿宋" w:eastAsia="仿宋"/>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2.自然人电子税务局网址：</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"https://etax.chinatax.gov.cn/" </w:instrText>
      </w:r>
      <w:r>
        <w:fldChar w:fldCharType="separate"/>
      </w:r>
      <w:r>
        <w:rPr>
          <w:rFonts w:hint="eastAsia" w:ascii="仿宋" w:hAnsi="仿宋" w:eastAsia="仿宋"/>
          <w:sz w:val="32"/>
          <w:szCs w:val="32"/>
        </w:rPr>
        <w:t>https://etax.chinatax.gov.cn/</w:t>
      </w:r>
      <w:r>
        <w:rPr>
          <w:rFonts w:hint="eastAsia" w:ascii="仿宋" w:hAnsi="仿宋" w:eastAsia="仿宋"/>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自然人电子税务局扣缴端下载网址：</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"http://shanghai.chinatax.gov.cn/bsfw/xzzx/rjxz/201809/t442014.html" </w:instrText>
      </w:r>
      <w:r>
        <w:fldChar w:fldCharType="separate"/>
      </w:r>
      <w:r>
        <w:rPr>
          <w:rFonts w:hint="eastAsia" w:ascii="仿宋" w:hAnsi="仿宋" w:eastAsia="仿宋"/>
          <w:sz w:val="32"/>
          <w:szCs w:val="32"/>
        </w:rPr>
        <w:t>http://shanghai.chinatax.gov.cn/bsfw/xzzx/rjxz/201809/t442014.html</w:t>
      </w:r>
      <w:r>
        <w:rPr>
          <w:rFonts w:hint="eastAsia" w:ascii="仿宋" w:hAnsi="仿宋" w:eastAsia="仿宋"/>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3.一网通办网址：</w:t>
      </w:r>
      <w:r>
        <w:fldChar w:fldCharType="begin"/>
      </w:r>
      <w:r>
        <w:instrText xml:space="preserve"> HYPERLINK "http://zwdt.sh.gov.cn/" </w:instrText>
      </w:r>
      <w:r>
        <w:fldChar w:fldCharType="separate"/>
      </w:r>
      <w:r>
        <w:rPr>
          <w:rFonts w:hint="eastAsia" w:ascii="仿宋" w:hAnsi="仿宋" w:eastAsia="仿宋"/>
          <w:sz w:val="32"/>
          <w:szCs w:val="32"/>
        </w:rPr>
        <w:t>http://zwdt.sh.gov.cn/</w:t>
      </w:r>
      <w:r>
        <w:rPr>
          <w:rFonts w:hint="eastAsia" w:ascii="仿宋" w:hAnsi="仿宋" w:eastAsia="仿宋"/>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4.增值税税控发票开票软件下载网址，金税盘版：</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"http://sh.aisino.com/jsp/show.jsp?code=201711150004" </w:instrText>
      </w:r>
      <w:r>
        <w:fldChar w:fldCharType="separate"/>
      </w:r>
      <w:r>
        <w:rPr>
          <w:rFonts w:hint="eastAsia" w:ascii="仿宋" w:hAnsi="仿宋" w:eastAsia="仿宋"/>
          <w:sz w:val="32"/>
          <w:szCs w:val="32"/>
        </w:rPr>
        <w:t>http://sh.aisino.com/jsp/show.jsp?code=201711150004</w:t>
      </w:r>
      <w:r>
        <w:rPr>
          <w:rFonts w:hint="eastAsia" w:ascii="仿宋" w:hAnsi="仿宋" w:eastAsia="仿宋"/>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税控盘版：</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"http://sh.baiwang.com.cn/channel/download/more.do?typeId=134&amp;zzjgDm=1304221336541001" </w:instrText>
      </w:r>
      <w:r>
        <w:fldChar w:fldCharType="separate"/>
      </w:r>
      <w:r>
        <w:rPr>
          <w:rFonts w:hint="eastAsia" w:ascii="仿宋" w:hAnsi="仿宋" w:eastAsia="仿宋"/>
          <w:sz w:val="32"/>
          <w:szCs w:val="32"/>
        </w:rPr>
        <w:t>http://sh.baiwang.com.cn/channel/download/more.do?typeId=134&amp;zzjgDm=1304221336541001</w:t>
      </w:r>
      <w:r>
        <w:rPr>
          <w:rFonts w:hint="eastAsia" w:ascii="仿宋" w:hAnsi="仿宋" w:eastAsia="仿宋"/>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税务Ukey版：</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"https://inv-veri.chinatax.gov.cn/xgxz.html" </w:instrText>
      </w:r>
      <w:r>
        <w:fldChar w:fldCharType="separate"/>
      </w:r>
      <w:r>
        <w:rPr>
          <w:rFonts w:hint="eastAsia" w:ascii="仿宋" w:hAnsi="仿宋" w:eastAsia="仿宋"/>
          <w:sz w:val="32"/>
          <w:szCs w:val="32"/>
        </w:rPr>
        <w:t>https://inv-veri.chinatax.gov.cn/xgxz.html</w:t>
      </w:r>
      <w:r>
        <w:rPr>
          <w:rFonts w:hint="eastAsia" w:ascii="仿宋" w:hAnsi="仿宋" w:eastAsia="仿宋"/>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本市税务部门将持续扩大全程网上办税事项范围，动态更新网上办税清单，不断拓宽“非接触式”办税缴费渠道，更好地为纳税人、缴费人服务。</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"http://shanghai.chinatax.gov.cn/xxgk/tzgg/202002/P020200214670543628096.xlsx" </w:instrText>
      </w:r>
      <w:r>
        <w:fldChar w:fldCharType="separate"/>
      </w:r>
      <w:r>
        <w:rPr>
          <w:rStyle w:val="215"/>
          <w:rFonts w:ascii="仿宋" w:hAnsi="仿宋" w:eastAsia="仿宋" w:cs="Times New Roman"/>
          <w:color w:val="auto"/>
          <w:kern w:val="0"/>
          <w:sz w:val="32"/>
          <w:szCs w:val="32"/>
        </w:rPr>
        <w:t>附件：全程网上办清单.xlsx</w:t>
      </w:r>
      <w:r>
        <w:rPr>
          <w:rStyle w:val="215"/>
          <w:rFonts w:ascii="仿宋" w:hAnsi="仿宋" w:eastAsia="仿宋" w:cs="Times New Roman"/>
          <w:color w:val="auto"/>
          <w:kern w:val="0"/>
          <w:sz w:val="32"/>
          <w:szCs w:val="32"/>
        </w:rPr>
        <w:fldChar w:fldCharType="end"/>
      </w:r>
    </w:p>
    <w:p>
      <w:pPr>
        <w:adjustRightInd w:val="0"/>
        <w:snapToGrid w:val="0"/>
        <w:spacing w:line="360" w:lineRule="auto"/>
        <w:ind w:firstLine="640" w:firstLineChars="200"/>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bCs w:val="0"/>
        </w:rPr>
      </w:pPr>
      <w:bookmarkStart w:id="77" w:name="_Toc34141438"/>
      <w:bookmarkStart w:id="78" w:name="_Toc33451048"/>
      <w:r>
        <w:rPr>
          <w:rFonts w:hint="eastAsia" w:ascii="仿宋" w:hAnsi="仿宋" w:eastAsia="仿宋"/>
          <w:bCs w:val="0"/>
        </w:rPr>
        <w:t>国家税务总局上海市税务局关于疫情防控期间行政复议有关工作安排的通告</w:t>
      </w:r>
      <w:bookmarkEnd w:id="77"/>
      <w:bookmarkEnd w:id="78"/>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做好新型冠状病毒疫情防控工作，最大限度减少人员流动聚集，切实保护人民群众的生命安全和身体健康，根据税务总局以及市委、市政府关于疫情防控的工作部署，现就疫情防控期间本市税务系统行政复议有关工作安排通告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一、自即日起，市、区两级税务行政复议机关原则上暂停当面解答申请行政复议咨询、暂停接收申请人当面递交的行政复议申请材料，恢复时间视疫情防控形势另行通知。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二、申请人咨询行政复议相关问题，可拨打纳税服务热线12366进行咨询。</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三、疫情防控期间，申请人向市、区两级税务机关申请行政复议的，可以通过邮寄的方式提出（邮寄地址附后）。请在信封上注明“行政复议申请”字样。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对于申请人因疑似、确诊新型冠状病毒感染肺炎正在隔离或者治疗，或者身处受疫情影响暂停交通的地区无法及时提交行政复议申请的，可以适用《中华人民共和国行政复议法》第九条第二款“因不可抗力或者其他正当理由耽误法定申请期限的，申请期限自障碍消除之日起继续计算”的规定计算行政复议申请期限。</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对于行政复议审理期间，申请人及其代理人因前述原因不能参加行政复议，或者因采取疫情防控应对措施，行政复议审理工作不能正常进行的，行政复议机构可以适用《中华人民共和国行政复议法实施条例》第四十一条的规定，依法中止行政复议。</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疫情防控期间，市、区两级税务机关复议机构工作人员将坚守岗位、履职尽责，认真负责做好行政复议咨询、申请和审理工作，全面落实疫情联防联控措施，切实维护相对人各项权利。</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特此通告。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国家税务总局上海市税务局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2020年2月3日</w:t>
      </w:r>
    </w:p>
    <w:p>
      <w:pPr>
        <w:adjustRightInd w:val="0"/>
        <w:snapToGrid w:val="0"/>
        <w:spacing w:line="360" w:lineRule="auto"/>
        <w:ind w:firstLine="640" w:firstLineChars="200"/>
        <w:jc w:val="center"/>
        <w:rPr>
          <w:rFonts w:ascii="仿宋" w:hAnsi="仿宋" w:eastAsia="仿宋" w:cs="Times New Roman"/>
          <w:kern w:val="0"/>
          <w:sz w:val="32"/>
          <w:szCs w:val="32"/>
        </w:rPr>
      </w:pPr>
      <w:r>
        <w:rPr>
          <w:rFonts w:ascii="仿宋" w:hAnsi="仿宋" w:eastAsia="仿宋" w:cs="Times New Roman"/>
          <w:kern w:val="0"/>
          <w:sz w:val="32"/>
          <w:szCs w:val="32"/>
        </w:rPr>
        <w:t>市、区两级税务行政复议机关地址</w:t>
      </w:r>
    </w:p>
    <w:tbl>
      <w:tblPr>
        <w:tblStyle w:val="88"/>
        <w:tblW w:w="4131" w:type="pct"/>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Layout w:type="autofit"/>
        <w:tblCellMar>
          <w:top w:w="0" w:type="dxa"/>
          <w:left w:w="0" w:type="dxa"/>
          <w:bottom w:w="0" w:type="dxa"/>
          <w:right w:w="0" w:type="dxa"/>
        </w:tblCellMar>
      </w:tblPr>
      <w:tblGrid>
        <w:gridCol w:w="3324"/>
        <w:gridCol w:w="2960"/>
        <w:gridCol w:w="1248"/>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0" w:type="dxa"/>
            <w:bottom w:w="0" w:type="dxa"/>
            <w:right w:w="0" w:type="dxa"/>
          </w:tblCellMar>
        </w:tblPrEx>
        <w:trPr>
          <w:trHeight w:val="342" w:hRule="atLeast"/>
          <w:tblHeader/>
          <w:jc w:val="center"/>
        </w:trPr>
        <w:tc>
          <w:tcPr>
            <w:tcW w:w="3324"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ascii="仿宋" w:hAnsi="仿宋" w:eastAsia="仿宋"/>
                <w:b/>
                <w:bCs/>
                <w:sz w:val="32"/>
                <w:szCs w:val="32"/>
                <w:lang w:val="en-US" w:eastAsia="zh-CN"/>
              </w:rPr>
              <w:t>行政复议机关</w:t>
            </w:r>
          </w:p>
        </w:tc>
        <w:tc>
          <w:tcPr>
            <w:tcW w:w="2960"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邮寄地址</w:t>
            </w:r>
          </w:p>
        </w:tc>
        <w:tc>
          <w:tcPr>
            <w:tcW w:w="1248" w:type="dxa"/>
            <w:tcBorders>
              <w:tl2br w:val="nil"/>
              <w:tr2bl w:val="nil"/>
            </w:tcBorders>
            <w:shd w:val="clear" w:color="auto" w:fill="7030A0"/>
            <w:tcMar>
              <w:left w:w="108" w:type="dxa"/>
              <w:right w:w="108" w:type="dxa"/>
            </w:tcMar>
            <w:vAlign w:val="center"/>
          </w:tcPr>
          <w:p>
            <w:pPr>
              <w:pStyle w:val="81"/>
              <w:adjustRightInd w:val="0"/>
              <w:snapToGrid w:val="0"/>
              <w:spacing w:line="240" w:lineRule="auto"/>
              <w:contextualSpacing w:val="0"/>
              <w:jc w:val="center"/>
              <w:rPr>
                <w:rFonts w:ascii="仿宋" w:hAnsi="仿宋" w:eastAsia="仿宋"/>
                <w:b/>
                <w:bCs/>
                <w:sz w:val="32"/>
                <w:szCs w:val="32"/>
                <w:lang w:val="en-US" w:eastAsia="zh-CN"/>
              </w:rPr>
            </w:pPr>
            <w:r>
              <w:rPr>
                <w:rFonts w:hint="eastAsia" w:ascii="仿宋" w:hAnsi="仿宋" w:eastAsia="仿宋"/>
                <w:b/>
                <w:bCs/>
                <w:sz w:val="32"/>
                <w:szCs w:val="32"/>
                <w:lang w:val="en-US" w:eastAsia="zh-CN"/>
              </w:rPr>
              <w:t>邮政编码</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上海市徐汇区肇嘉浜路800号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200030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国家税务总局上海市浦东新区税务局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上海市浦东新区向城路80号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200122</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国家税务总局上海市黄浦区税务局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上海市黄浦区斜土路313号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200023</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国家税务总局上海市徐汇区税务局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上海市徐汇区虹桥路188号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200030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28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国家税务总局上海市静安区税务局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上海市静安区昌平路991号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200042</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国家税务总局上海市长宁区税务局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上海市长宁区天山路1827号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200051</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国家税务总局上海市普陀区税务局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上海市普陀区北石路579号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200333</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国家税务总局上海市虹口区税务局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上海市虹口区临平北路35号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200086</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国家税务总局上海市杨浦区税务局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上海市杨浦区黄兴路402号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200433</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国家税务总局上海市闵行区税务局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上海市闵行区沪松公路559号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201101</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国家税务总局上海市宝山区税务局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上海市宝山区宝林路43号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201999</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国家税务总局上海市嘉定区税务局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上海市嘉定区城中路75号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201899</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国家税务总局上海市金山区税务局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上海市金山区浩源路80号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200540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国家税务总局上海市松江区税务局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上海市松江区园中路2号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201620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28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国家税务总局上海市青浦区税务局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上海市青浦区城中西路80号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201700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0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国家税务总局上海市奉贤区税务局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上海市奉贤区环城东路277号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201401</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322" w:hRule="atLeast"/>
          <w:jc w:val="center"/>
        </w:trPr>
        <w:tc>
          <w:tcPr>
            <w:tcW w:w="3324"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国家税务总局上海市崇明区税务局</w:t>
            </w:r>
          </w:p>
        </w:tc>
        <w:tc>
          <w:tcPr>
            <w:tcW w:w="2960"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both"/>
              <w:rPr>
                <w:rFonts w:ascii="仿宋" w:hAnsi="仿宋" w:eastAsia="仿宋"/>
                <w:sz w:val="32"/>
                <w:szCs w:val="32"/>
                <w:lang w:val="en-US" w:eastAsia="zh-CN"/>
              </w:rPr>
            </w:pPr>
            <w:r>
              <w:rPr>
                <w:rFonts w:hint="eastAsia" w:ascii="仿宋" w:hAnsi="仿宋" w:eastAsia="仿宋"/>
                <w:sz w:val="32"/>
                <w:szCs w:val="32"/>
                <w:lang w:val="en-US" w:eastAsia="zh-CN"/>
              </w:rPr>
              <w:t>上海市崇明区城桥镇人民路60号</w:t>
            </w:r>
          </w:p>
        </w:tc>
        <w:tc>
          <w:tcPr>
            <w:tcW w:w="1248" w:type="dxa"/>
            <w:tcBorders>
              <w:tl2br w:val="nil"/>
              <w:tr2bl w:val="nil"/>
            </w:tcBorders>
            <w:shd w:val="clear" w:color="auto" w:fill="FFFFFF"/>
            <w:tcMar>
              <w:left w:w="108" w:type="dxa"/>
              <w:right w:w="108" w:type="dxa"/>
            </w:tcMar>
            <w:vAlign w:val="center"/>
          </w:tcPr>
          <w:p>
            <w:pPr>
              <w:pStyle w:val="81"/>
              <w:adjustRightInd w:val="0"/>
              <w:snapToGrid w:val="0"/>
              <w:spacing w:line="240" w:lineRule="auto"/>
              <w:contextualSpacing w:val="0"/>
              <w:jc w:val="center"/>
              <w:rPr>
                <w:rFonts w:ascii="仿宋" w:hAnsi="仿宋" w:eastAsia="仿宋"/>
                <w:sz w:val="32"/>
                <w:szCs w:val="32"/>
                <w:lang w:val="en-US" w:eastAsia="zh-CN"/>
              </w:rPr>
            </w:pPr>
            <w:r>
              <w:rPr>
                <w:rFonts w:hint="eastAsia" w:ascii="仿宋" w:hAnsi="仿宋" w:eastAsia="仿宋"/>
                <w:sz w:val="32"/>
                <w:szCs w:val="32"/>
                <w:lang w:val="en-US" w:eastAsia="zh-CN"/>
              </w:rPr>
              <w:t>202150</w:t>
            </w:r>
          </w:p>
        </w:tc>
      </w:tr>
    </w:tbl>
    <w:p>
      <w:pPr>
        <w:adjustRightInd w:val="0"/>
        <w:snapToGrid w:val="0"/>
        <w:spacing w:line="360" w:lineRule="auto"/>
        <w:ind w:firstLine="640" w:firstLineChars="200"/>
        <w:jc w:val="center"/>
        <w:rPr>
          <w:rFonts w:ascii="仿宋" w:hAnsi="仿宋" w:eastAsia="仿宋" w:cs="Times New Roman"/>
          <w:kern w:val="0"/>
          <w:sz w:val="32"/>
          <w:szCs w:val="32"/>
        </w:rPr>
      </w:pPr>
    </w:p>
    <w:p>
      <w:pPr>
        <w:adjustRightInd w:val="0"/>
        <w:snapToGrid w:val="0"/>
        <w:spacing w:line="360" w:lineRule="auto"/>
        <w:ind w:firstLine="640" w:firstLineChars="200"/>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bCs w:val="0"/>
        </w:rPr>
      </w:pPr>
      <w:bookmarkStart w:id="79" w:name="_Toc34141439"/>
      <w:bookmarkStart w:id="80" w:name="_Toc33451049"/>
      <w:r>
        <w:rPr>
          <w:rFonts w:hint="eastAsia" w:ascii="仿宋" w:hAnsi="仿宋" w:eastAsia="仿宋"/>
          <w:bCs w:val="0"/>
        </w:rPr>
        <w:t>国家税务总局上海市税务局关于企业自建和第三方电子发票服务平台接入验证工作的公告</w:t>
      </w:r>
      <w:bookmarkEnd w:id="79"/>
      <w:bookmarkEnd w:id="80"/>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上海市税务局增值税发票管理系统（2.0版）生产环境正式接入（地址：https://skfp.shanghai.chinatax.gov.cn:9006）。</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"http://shanghai.chinatax.gov.cn/xxgk/tzgg/202002/P020200217640769316398.doc" </w:instrText>
      </w:r>
      <w:r>
        <w:fldChar w:fldCharType="separate"/>
      </w:r>
      <w:r>
        <w:rPr>
          <w:rStyle w:val="215"/>
          <w:rFonts w:hint="eastAsia" w:ascii="仿宋" w:hAnsi="仿宋" w:eastAsia="仿宋" w:cs="Times New Roman"/>
          <w:color w:val="auto"/>
          <w:kern w:val="0"/>
          <w:sz w:val="32"/>
          <w:szCs w:val="32"/>
        </w:rPr>
        <w:t>增值税电子发票服务平台安全管理保证书</w:t>
      </w:r>
      <w:r>
        <w:rPr>
          <w:rStyle w:val="215"/>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国家税务总局上海市税务局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81" w:name="_Toc34141440"/>
      <w:r>
        <w:rPr>
          <w:rFonts w:hint="eastAsia" w:ascii="仿宋" w:hAnsi="仿宋" w:eastAsia="仿宋"/>
          <w:color w:val="000000" w:themeColor="text1"/>
          <w:sz w:val="32"/>
          <w:szCs w:val="32"/>
        </w:rPr>
        <w:t>（十）江苏省</w:t>
      </w:r>
      <w:bookmarkEnd w:id="81"/>
    </w:p>
    <w:p>
      <w:pPr>
        <w:keepNext/>
        <w:keepLines/>
        <w:adjustRightInd w:val="0"/>
        <w:snapToGrid w:val="0"/>
        <w:spacing w:line="360" w:lineRule="auto"/>
        <w:ind w:firstLine="643" w:firstLineChars="200"/>
        <w:outlineLvl w:val="2"/>
        <w:rPr>
          <w:rFonts w:ascii="仿宋" w:hAnsi="仿宋" w:eastAsia="仿宋"/>
          <w:b/>
          <w:sz w:val="32"/>
          <w:szCs w:val="32"/>
        </w:rPr>
      </w:pPr>
      <w:bookmarkStart w:id="82" w:name="_Toc34141441"/>
      <w:bookmarkStart w:id="83" w:name="_Toc33868280"/>
      <w:r>
        <w:rPr>
          <w:rFonts w:hint="eastAsia" w:ascii="仿宋" w:hAnsi="仿宋" w:eastAsia="仿宋"/>
          <w:b/>
          <w:sz w:val="32"/>
          <w:szCs w:val="32"/>
        </w:rPr>
        <w:t>无更新</w:t>
      </w:r>
      <w:bookmarkEnd w:id="82"/>
      <w:bookmarkEnd w:id="83"/>
    </w:p>
    <w:p>
      <w:pPr>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84" w:name="_Toc34141442"/>
      <w:r>
        <w:rPr>
          <w:rFonts w:hint="eastAsia" w:ascii="仿宋" w:hAnsi="仿宋" w:eastAsia="仿宋"/>
          <w:color w:val="000000" w:themeColor="text1"/>
          <w:sz w:val="32"/>
          <w:szCs w:val="32"/>
        </w:rPr>
        <w:t>（十一）浙江省</w:t>
      </w:r>
      <w:bookmarkEnd w:id="84"/>
    </w:p>
    <w:p>
      <w:pPr>
        <w:pStyle w:val="830"/>
        <w:adjustRightInd w:val="0"/>
        <w:snapToGrid w:val="0"/>
        <w:spacing w:before="0" w:after="0" w:line="360" w:lineRule="auto"/>
        <w:jc w:val="center"/>
        <w:rPr>
          <w:rFonts w:ascii="仿宋" w:hAnsi="仿宋" w:eastAsia="仿宋" w:cs="Times New Roman"/>
          <w:bCs w:val="0"/>
          <w:kern w:val="0"/>
        </w:rPr>
      </w:pPr>
      <w:bookmarkStart w:id="85" w:name="_Toc34141443"/>
      <w:bookmarkStart w:id="86" w:name="_Toc33451155"/>
      <w:bookmarkStart w:id="87" w:name="_Toc531885018"/>
      <w:r>
        <w:rPr>
          <w:rFonts w:hint="eastAsia" w:ascii="仿宋" w:hAnsi="仿宋" w:eastAsia="仿宋" w:cs="Times New Roman"/>
          <w:bCs w:val="0"/>
          <w:kern w:val="0"/>
        </w:rPr>
        <w:t>国家税务总局宁波市税务局关于企业自建和第三方电子发票服务平台接入验证工作的公告</w:t>
      </w:r>
      <w:bookmarkEnd w:id="85"/>
      <w:bookmarkEnd w:id="86"/>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w:t>
      </w:r>
      <w:r>
        <w:rPr>
          <w:rFonts w:ascii="仿宋" w:hAnsi="仿宋" w:eastAsia="仿宋" w:cs="Times New Roman"/>
          <w:kern w:val="0"/>
          <w:sz w:val="32"/>
          <w:szCs w:val="32"/>
        </w:rPr>
        <w:t xml:space="preserve"> 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（七）税务机关对上报资料进行验证，向电子发票服务平台厂商反馈验证情况，并做好记录。验证通过的，即可通过国家税务总局宁波市税务局增值税发票管理系统（</w:t>
      </w:r>
      <w:r>
        <w:rPr>
          <w:rFonts w:ascii="仿宋" w:hAnsi="仿宋" w:eastAsia="仿宋" w:cs="Times New Roman"/>
          <w:kern w:val="0"/>
          <w:sz w:val="32"/>
          <w:szCs w:val="32"/>
        </w:rPr>
        <w:t>2.0版）生产环境正式接入。（地址：https://zzsfp.ningbo.chinatax.gov.cn:9006）</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"http://ningbo.chinatax.gov.cn/module/download/downfile.jsp?classid=0&amp;filename=33ba80e3e2474850b40c5789d3a3e29b.doc"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国家税务总局宁波市税务局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2020年2月17日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88" w:name="_Toc34141444"/>
      <w:bookmarkStart w:id="89" w:name="_Toc33451156"/>
      <w:r>
        <w:rPr>
          <w:rFonts w:hint="eastAsia" w:ascii="仿宋" w:hAnsi="仿宋" w:eastAsia="仿宋" w:cs="Times New Roman"/>
          <w:bCs w:val="0"/>
          <w:kern w:val="0"/>
        </w:rPr>
        <w:t>国家税务总局宁波市税务局关于明确延长</w:t>
      </w:r>
      <w:r>
        <w:rPr>
          <w:rFonts w:ascii="仿宋" w:hAnsi="仿宋" w:eastAsia="仿宋" w:cs="Times New Roman"/>
          <w:bCs w:val="0"/>
          <w:kern w:val="0"/>
        </w:rPr>
        <w:t>2020年2月份纳税申报期限有关事项的通知</w:t>
      </w:r>
      <w:bookmarkEnd w:id="88"/>
      <w:bookmarkEnd w:id="89"/>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为支持疫情防控和企业复工复产，根据《国家税务总局关于进一步延长</w:t>
      </w:r>
      <w:r>
        <w:rPr>
          <w:rFonts w:ascii="仿宋" w:hAnsi="仿宋" w:eastAsia="仿宋" w:cs="Times New Roman"/>
          <w:kern w:val="0"/>
          <w:sz w:val="32"/>
          <w:szCs w:val="32"/>
        </w:rPr>
        <w:t>2020年2月份纳税申报期限有关事项的通知》（税总函〔2020〕27号）文件要求，现将宁波市2020年2月份纳税申报期限有关事项明确如下：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一、对按月申报的纳税人、扣缴义务人，纳税申报期限延长至</w:t>
      </w:r>
      <w:r>
        <w:rPr>
          <w:rFonts w:ascii="仿宋" w:hAnsi="仿宋" w:eastAsia="仿宋" w:cs="Times New Roman"/>
          <w:kern w:val="0"/>
          <w:sz w:val="32"/>
          <w:szCs w:val="32"/>
        </w:rPr>
        <w:t>2月28日（星期五）。纳税人、扣缴义务人受疫情影响，在2月份申报纳税期限延长后，办理仍有困难的，还可依法申请进一步延期。</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二、受疫情影响到</w:t>
      </w:r>
      <w:r>
        <w:rPr>
          <w:rFonts w:ascii="仿宋" w:hAnsi="仿宋" w:eastAsia="仿宋" w:cs="Times New Roman"/>
          <w:kern w:val="0"/>
          <w:sz w:val="32"/>
          <w:szCs w:val="32"/>
        </w:rPr>
        <w:t>2月28日仍无法办理纳税申报或延期申报的纳税人，可在及时向税务机关书面说明正当理由后，补办延期申报手续并同时办理纳税申报。纳税人应对其书面说明的正当理由的真实性负责。</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国家税务总局宁波市税务局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2020年2月19日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90" w:name="_Toc34141445"/>
      <w:bookmarkStart w:id="91" w:name="_Toc33451157"/>
      <w:r>
        <w:rPr>
          <w:rFonts w:hint="eastAsia" w:ascii="仿宋" w:hAnsi="仿宋" w:eastAsia="仿宋" w:cs="Times New Roman"/>
          <w:bCs w:val="0"/>
          <w:kern w:val="0"/>
        </w:rPr>
        <w:t>国家税务总局宁波市税务局受疫情影响企业缓缴社保费申请办理流程指南（适用缴费企业）</w:t>
      </w:r>
      <w:bookmarkEnd w:id="90"/>
      <w:bookmarkEnd w:id="91"/>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2020年2月16日，中共宁波市委 宁波市人民政府印发《关于促进企业复工复产的若干意见》（甬党发〔2020〕4号），规定对因疫情影响，面临暂时性生产经营困难，无力足额缴纳社会保险费的企业，可缓缴社会保险费，相关补缴手续可在疫情解除后3个月内完成。缓缴期间保留参保人员的基本养老保险、基本医疗保险等各项社会保险待遇，缓缴期满后，企业足额补缴缓缴社会保险费的，参保人员个人权益不受影响。</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为最大限度方便缴费人，对受本次疫情影响的企业申请缓缴社保费事项实行简易程序，办理流程如下。</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一、申请对象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申请延期缴纳社保费的对象为企业缴费人。延期缴纳申请只适用于所属期</w:t>
      </w:r>
      <w:r>
        <w:rPr>
          <w:rFonts w:ascii="仿宋" w:hAnsi="仿宋" w:eastAsia="仿宋" w:cs="Times New Roman"/>
          <w:kern w:val="0"/>
          <w:sz w:val="32"/>
          <w:szCs w:val="32"/>
        </w:rPr>
        <w:t>2020年1月起的已申报未缴款的社保费。</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二、申请时限</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企业缓缴社保费应于当月社保费申报缴款期限之前申请。</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三、申请办理渠道</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向主管税务机关办税服务场所提出申请，填写申请理由等信息，承诺延期缴费的期限，当场告知办理结果。也可与主管税务机关预约，通过各主管税务机关提供的“非接触式”方式递交申请。</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四、申请表填写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（一）申请延期缴纳社保费情况信息</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针对本次受疫情影响的申请，在完成缴费申报后确定险种和金额；为简化填表，征收品目合并至险种填写。险种和金额信息可由税务机关根据缴费申报信息查询后代为填写。其中：</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1.“费款所属时期”按当期缴费申报表的费款所属月份填写；</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2.“申请延期缴纳费额”按当期《社会保险费缴费申报表》应缴费额合计金额填写。</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3.“申请延期缴纳期限”按政策规定期限结合本企业实际需要填写。本次受疫情影响申请延期缴纳期限暂定到2020年5月31日止，到期后是否延期，届时视疫情解除情况由税务机关统一调整。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（二）申请延期缴纳社保费理由</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申请理由可参考以下模板，具体按企业实际情况如实填写。申请理由模板：“本次新冠肺炎疫情，对本企业造成的具体影响是：XXXXX……（比如到X月X日才复工、多少员工无法及时按时返工等）；目前企业面临的问题和困难是： XXXXX……（比如开工不足X%、营收或利润下滑X%等）；产生的后果是：XXXXX……（比如现金流短缺、工资无法发放等）。上述情况导致我企业无力足额缴纳社会保险费，特申请延期缴纳2020年X月（费款所属期）社保费。我企业承诺上述情况真实，并承诺在X月X日前完成补缴手续。”</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2.如实填写法定代表人姓名及办理人员信息，并盖企业公章。</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（三）简并资料措施</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提交《延期缴纳社保费申请表》后可不再报送其他附列资料，由企业留存备查。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企业在申请缓缴过程中，国家对社会保险费实行阶段性免征或减征等相应政策的，按国家政策执行。如需了解申请缓缴相关政策，可拨打</w:t>
      </w:r>
      <w:r>
        <w:rPr>
          <w:rFonts w:ascii="仿宋" w:hAnsi="仿宋" w:eastAsia="仿宋" w:cs="Times New Roman"/>
          <w:kern w:val="0"/>
          <w:sz w:val="32"/>
          <w:szCs w:val="32"/>
        </w:rPr>
        <w:t>12366或向国家税务总局宁波市各区县（市）税务局咨询，涉及社保相关政策，可拨打12333。</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国家税务总局宁波市税务局</w:t>
      </w:r>
      <w:r>
        <w:rPr>
          <w:rFonts w:ascii="仿宋" w:hAnsi="仿宋" w:eastAsia="仿宋" w:cs="Times New Roman"/>
          <w:kern w:val="0"/>
          <w:sz w:val="32"/>
          <w:szCs w:val="32"/>
        </w:rPr>
        <w:t xml:space="preserve"> </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宁波市人力资源和社会保障局 宁波市医疗保障局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2020年2月20日</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"http://ningbo.chinatax.gov.cn/module/download/downfile.jsp?classid=0&amp;filename=839535a06a654fcb90abf6e82d26718c.doc" </w:instrText>
      </w:r>
      <w:r>
        <w:fldChar w:fldCharType="separate"/>
      </w:r>
      <w:r>
        <w:rPr>
          <w:rStyle w:val="222"/>
          <w:rFonts w:hint="eastAsia" w:ascii="仿宋" w:hAnsi="仿宋" w:eastAsia="仿宋" w:cs="Times New Roman"/>
          <w:color w:val="auto"/>
          <w:kern w:val="0"/>
          <w:sz w:val="32"/>
          <w:szCs w:val="32"/>
        </w:rPr>
        <w:t>延期缴纳社会保险费申请表</w:t>
      </w:r>
      <w:r>
        <w:rPr>
          <w:rStyle w:val="222"/>
          <w:rFonts w:ascii="仿宋" w:hAnsi="仿宋" w:eastAsia="仿宋" w:cs="Times New Roman"/>
          <w:color w:val="auto"/>
          <w:kern w:val="0"/>
          <w:sz w:val="32"/>
          <w:szCs w:val="32"/>
        </w:rPr>
        <w:t>(适用于疫情防控期间)</w:t>
      </w:r>
      <w:r>
        <w:rPr>
          <w:rStyle w:val="222"/>
          <w:rFonts w:ascii="仿宋" w:hAnsi="仿宋" w:eastAsia="仿宋" w:cs="Times New Roman"/>
          <w:color w:val="auto"/>
          <w:kern w:val="0"/>
          <w:sz w:val="32"/>
          <w:szCs w:val="32"/>
        </w:rPr>
        <w:fldChar w:fldCharType="end"/>
      </w:r>
    </w:p>
    <w:p>
      <w:pPr>
        <w:widowControl/>
        <w:adjustRightInd w:val="0"/>
        <w:snapToGrid w:val="0"/>
        <w:spacing w:line="360" w:lineRule="auto"/>
        <w:ind w:firstLine="643" w:firstLineChars="200"/>
        <w:jc w:val="left"/>
        <w:rPr>
          <w:rStyle w:val="222"/>
          <w:rFonts w:ascii="仿宋" w:hAnsi="仿宋" w:eastAsia="仿宋"/>
          <w:b/>
          <w:bCs/>
          <w:color w:val="auto"/>
          <w:sz w:val="32"/>
          <w:szCs w:val="32"/>
          <w:u w:val="none"/>
        </w:rPr>
      </w:pPr>
      <w:r>
        <w:rPr>
          <w:rStyle w:val="222"/>
          <w:rFonts w:ascii="仿宋" w:hAnsi="仿宋" w:eastAsia="仿宋"/>
          <w:b/>
          <w:bCs/>
          <w:color w:val="auto"/>
          <w:sz w:val="32"/>
          <w:szCs w:val="32"/>
          <w:u w:val="none"/>
        </w:rPr>
        <w:br w:type="page"/>
      </w:r>
    </w:p>
    <w:bookmarkEnd w:id="87"/>
    <w:p>
      <w:pPr>
        <w:pStyle w:val="263"/>
        <w:adjustRightInd w:val="0"/>
        <w:snapToGrid w:val="0"/>
        <w:spacing w:after="0" w:line="360" w:lineRule="auto"/>
        <w:outlineLvl w:val="0"/>
        <w:rPr>
          <w:rFonts w:ascii="仿宋" w:hAnsi="仿宋" w:eastAsia="仿宋"/>
          <w:color w:val="000000" w:themeColor="text1"/>
          <w:sz w:val="32"/>
          <w:szCs w:val="32"/>
        </w:rPr>
      </w:pPr>
      <w:bookmarkStart w:id="92" w:name="_Toc34141446"/>
      <w:r>
        <w:rPr>
          <w:rFonts w:hint="eastAsia" w:ascii="仿宋" w:hAnsi="仿宋" w:eastAsia="仿宋"/>
          <w:color w:val="000000" w:themeColor="text1"/>
          <w:sz w:val="32"/>
          <w:szCs w:val="32"/>
        </w:rPr>
        <w:t>（十二）安徽省</w:t>
      </w:r>
      <w:bookmarkEnd w:id="92"/>
    </w:p>
    <w:p>
      <w:pPr>
        <w:pStyle w:val="5"/>
        <w:adjustRightInd w:val="0"/>
        <w:snapToGrid w:val="0"/>
        <w:spacing w:before="0" w:after="0" w:line="360" w:lineRule="auto"/>
        <w:jc w:val="center"/>
        <w:rPr>
          <w:rFonts w:ascii="仿宋" w:hAnsi="仿宋" w:eastAsia="仿宋" w:cs="Times New Roman"/>
          <w:kern w:val="0"/>
        </w:rPr>
      </w:pPr>
      <w:bookmarkStart w:id="93" w:name="_Toc34141447"/>
      <w:bookmarkStart w:id="94" w:name="_Toc33451064"/>
      <w:r>
        <w:rPr>
          <w:rFonts w:hint="eastAsia" w:ascii="仿宋" w:hAnsi="仿宋" w:eastAsia="仿宋" w:cs="Times New Roman"/>
          <w:kern w:val="0"/>
        </w:rPr>
        <w:t>国家税务总局安徽省税务局关于开展企业自建和第三方电子发票服务平台接入验证工作的公告</w:t>
      </w:r>
      <w:bookmarkEnd w:id="93"/>
      <w:bookmarkEnd w:id="94"/>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接入地址：https://fpgl.anhui.chinatax.gov.cn:8001）。</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"http://anhui.chinatax.gov.cn/module/download/downfile.jsp?filename=47af9dd357f74eb9ace7bbbc6adf8d4c.docx&amp;classid=0"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国家税务总局安徽省税务局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jc w:val="right"/>
        <w:rPr>
          <w:rFonts w:ascii="仿宋" w:hAnsi="仿宋" w:eastAsia="仿宋" w:cs="Times New Roman"/>
          <w:kern w:val="0"/>
          <w:sz w:val="32"/>
          <w:szCs w:val="32"/>
        </w:rPr>
      </w:pPr>
    </w:p>
    <w:p>
      <w:pPr>
        <w:adjustRightInd w:val="0"/>
        <w:snapToGrid w:val="0"/>
        <w:spacing w:line="360" w:lineRule="auto"/>
        <w:ind w:firstLine="420" w:firstLineChars="200"/>
        <w:rPr>
          <w:rStyle w:val="222"/>
          <w:rFonts w:ascii="仿宋" w:hAnsi="仿宋" w:eastAsia="仿宋"/>
          <w:color w:val="auto"/>
          <w:sz w:val="32"/>
          <w:szCs w:val="32"/>
          <w:u w:val="none"/>
        </w:rPr>
      </w:pPr>
      <w:r>
        <w:fldChar w:fldCharType="begin"/>
      </w:r>
      <w:r>
        <w:instrText xml:space="preserve"> HYPERLINK \l "目录" </w:instrText>
      </w:r>
      <w:r>
        <w:fldChar w:fldCharType="separate"/>
      </w:r>
      <w:r>
        <w:fldChar w:fldCharType="end"/>
      </w:r>
      <w:r>
        <w:rPr>
          <w:rFonts w:ascii="仿宋" w:hAnsi="仿宋" w:eastAsia="仿宋"/>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95" w:name="_Toc34141448"/>
      <w:r>
        <w:rPr>
          <w:rFonts w:hint="eastAsia" w:ascii="仿宋" w:hAnsi="仿宋" w:eastAsia="仿宋"/>
          <w:color w:val="000000" w:themeColor="text1"/>
          <w:sz w:val="32"/>
          <w:szCs w:val="32"/>
        </w:rPr>
        <w:t>（十三）福建省</w:t>
      </w:r>
      <w:bookmarkEnd w:id="95"/>
    </w:p>
    <w:p>
      <w:pPr>
        <w:pStyle w:val="5"/>
        <w:adjustRightInd w:val="0"/>
        <w:snapToGrid w:val="0"/>
        <w:spacing w:before="0" w:after="0" w:line="360" w:lineRule="auto"/>
        <w:jc w:val="center"/>
        <w:rPr>
          <w:rFonts w:ascii="仿宋" w:hAnsi="仿宋" w:eastAsia="仿宋" w:cs="Times New Roman"/>
          <w:kern w:val="0"/>
        </w:rPr>
      </w:pPr>
      <w:bookmarkStart w:id="96" w:name="_Toc34141449"/>
      <w:bookmarkStart w:id="97" w:name="_Toc33451080"/>
      <w:r>
        <w:rPr>
          <w:rFonts w:hint="eastAsia" w:ascii="仿宋" w:hAnsi="仿宋" w:eastAsia="仿宋" w:cs="Times New Roman"/>
          <w:kern w:val="0"/>
        </w:rPr>
        <w:t>国家税务总局福建省税务局关于电子发票服务平台接入验证工作的公告</w:t>
      </w:r>
      <w:bookmarkEnd w:id="96"/>
      <w:bookmarkEnd w:id="97"/>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w:t>
      </w:r>
      <w:bookmarkStart w:id="98" w:name="OLE_LINK2"/>
      <w:r>
        <w:rPr>
          <w:rFonts w:hint="eastAsia" w:ascii="仿宋" w:hAnsi="仿宋" w:eastAsia="仿宋" w:cs="Times New Roman"/>
          <w:kern w:val="0"/>
          <w:sz w:val="32"/>
          <w:szCs w:val="32"/>
        </w:rPr>
        <w:t>税务机关根据提交验证申请信息的先后顺序组织开展验证实施工作。</w:t>
      </w:r>
      <w:bookmarkEnd w:id="98"/>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（二）税务机关审核电子发票服务平台厂商提交的验证申请信息，将测试用平台UKe和测试用税务UKey邮寄至平台方提供的收件地址，将验证方法和工具发送到平台方指定邮箱。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（七）税务机关对上报资料进行验证，向电子发票服务平台厂商反馈验证情况，并做好记录。验证通过的，即可通过福建省税务局增值税发票管理系统（2.0版）生产环境正式接入（地址：</w:t>
      </w:r>
      <w:r>
        <w:fldChar w:fldCharType="begin"/>
      </w:r>
      <w:r>
        <w:instrText xml:space="preserve"> HYPERLINK "https://fpggfw.fujian.chinatax.gov.cn/" </w:instrText>
      </w:r>
      <w:r>
        <w:fldChar w:fldCharType="separate"/>
      </w:r>
      <w:r>
        <w:rPr>
          <w:rFonts w:hint="eastAsia" w:ascii="仿宋" w:hAnsi="仿宋" w:eastAsia="仿宋" w:cs="Times New Roman"/>
          <w:kern w:val="0"/>
          <w:sz w:val="32"/>
          <w:szCs w:val="32"/>
        </w:rPr>
        <w:t>https://fpggfw.fujian.chinatax.gov.cn:443</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bookmarkStart w:id="99" w:name="OLE_LINK1"/>
      <w:r>
        <w:rPr>
          <w:rFonts w:hint="eastAsia" w:ascii="仿宋" w:hAnsi="仿宋" w:eastAsia="仿宋" w:cs="Times New Roman"/>
          <w:kern w:val="0"/>
          <w:sz w:val="32"/>
          <w:szCs w:val="32"/>
        </w:rPr>
        <w:t>增值税电子发票服务平台安全管理保证书</w:t>
      </w:r>
      <w:bookmarkEnd w:id="99"/>
    </w:p>
    <w:p>
      <w:pPr>
        <w:widowControl/>
        <w:adjustRightInd w:val="0"/>
        <w:snapToGrid w:val="0"/>
        <w:spacing w:line="360" w:lineRule="auto"/>
        <w:ind w:firstLine="640" w:firstLineChars="200"/>
        <w:jc w:val="center"/>
        <w:rPr>
          <w:rFonts w:ascii="仿宋" w:hAnsi="仿宋" w:eastAsia="仿宋" w:cs="Times New Roman"/>
          <w:kern w:val="0"/>
          <w:sz w:val="32"/>
          <w:szCs w:val="32"/>
        </w:rPr>
      </w:pPr>
      <w:r>
        <w:rPr>
          <w:rFonts w:hint="eastAsia" w:ascii="仿宋" w:hAnsi="仿宋" w:eastAsia="仿宋" w:cs="Times New Roman"/>
          <w:kern w:val="0"/>
          <w:sz w:val="32"/>
          <w:szCs w:val="32"/>
        </w:rPr>
        <w:t>增值税电子发票服务平台安全管理保证书</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联系电话：</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邮箱地址：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法人代表签名：</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XX公司（电子发票服务平台所有者）（签章）</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年 </w:t>
      </w:r>
      <w:r>
        <w:rPr>
          <w:rFonts w:ascii="Calibri" w:hAnsi="Calibri" w:eastAsia="仿宋" w:cs="Calibri"/>
          <w:kern w:val="0"/>
          <w:sz w:val="32"/>
          <w:szCs w:val="32"/>
        </w:rPr>
        <w:t>   </w:t>
      </w:r>
      <w:r>
        <w:rPr>
          <w:rFonts w:hint="eastAsia" w:ascii="仿宋" w:hAnsi="仿宋" w:eastAsia="仿宋" w:cs="Times New Roman"/>
          <w:kern w:val="0"/>
          <w:sz w:val="32"/>
          <w:szCs w:val="32"/>
        </w:rPr>
        <w:t xml:space="preserve">月 </w:t>
      </w:r>
      <w:r>
        <w:rPr>
          <w:rFonts w:ascii="Calibri" w:hAnsi="Calibri" w:eastAsia="仿宋" w:cs="Calibri"/>
          <w:kern w:val="0"/>
          <w:sz w:val="32"/>
          <w:szCs w:val="32"/>
        </w:rPr>
        <w:t>   </w:t>
      </w:r>
      <w:r>
        <w:rPr>
          <w:rFonts w:hint="eastAsia" w:ascii="仿宋" w:hAnsi="仿宋" w:eastAsia="仿宋" w:cs="Times New Roman"/>
          <w:kern w:val="0"/>
          <w:sz w:val="32"/>
          <w:szCs w:val="32"/>
        </w:rPr>
        <w:t>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00" w:name="_Toc34141450"/>
      <w:bookmarkStart w:id="101" w:name="_Toc33451081"/>
      <w:r>
        <w:rPr>
          <w:rFonts w:hint="eastAsia" w:ascii="仿宋" w:hAnsi="仿宋" w:eastAsia="仿宋" w:cs="Times New Roman"/>
          <w:kern w:val="0"/>
        </w:rPr>
        <w:t>国家税务总局福建省税务局关于纳税人增值税发票开票软件报税清卡操作调整的通知</w:t>
      </w:r>
      <w:bookmarkEnd w:id="100"/>
      <w:bookmarkEnd w:id="101"/>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进一步加强新型冠状病毒感染肺炎疫情防控工作，国家税务总局明确将2020年2月份纳税申报期限再次延长至2020年2月28日。同时为确保申报期限延长后，纳税人的税控设备能够正常使用，增值税发票能够正常领用和开具，税局系统对税控设备解锁方式进行了调整，现对调整说明如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1、2020年2月份当月税控设备解锁方式由原来的“申报比对通过后解锁”调整为：“增值税发票汇总数据上传（抄报税）后解锁”。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即：2月份纳税人在网络通畅的情况下登录增值税发票开票软件，发票明细都上传且抄税成功后，即可清卡解锁（反写），无需等待纳税申报完成。</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2、若您在2月24日前未完成抄报税，2月24日至2月28日期间，仍可登录开票软件进行抄报税操作，联网状态下软件会自动进行汇总上报、清卡（反写）。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如您在登录开票软件后查询的开票锁死日期（开票截止日期）为2月18日，也为正常现象，不影响本次征期内的操作，可以按正常流程完成本月抄报税操作。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3、若您存在其他异常情况或此前做过非征期抄税且未报税等情况，导致无法完成远程抄报、清卡的情况，请您具体联系主管税务机关。</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以下为三种开票软件版本的操作说明：</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1、</w:t>
      </w:r>
      <w:r>
        <w:rPr>
          <w:rFonts w:ascii="Calibri" w:hAnsi="Calibri" w:eastAsia="仿宋" w:cs="Calibri"/>
          <w:kern w:val="0"/>
          <w:sz w:val="32"/>
          <w:szCs w:val="32"/>
        </w:rPr>
        <w:t> </w:t>
      </w:r>
      <w:r>
        <w:rPr>
          <w:rFonts w:hint="eastAsia" w:ascii="仿宋" w:hAnsi="仿宋" w:eastAsia="仿宋" w:cs="Times New Roman"/>
          <w:kern w:val="0"/>
          <w:sz w:val="32"/>
          <w:szCs w:val="32"/>
        </w:rPr>
        <w:t>增值税发票开票软件（金税盘版）</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确保联网状态，登陆开票软件会自动抄报税、自动清卡，可通过“状态查询”模块核实是否清卡成功。</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drawing>
          <wp:anchor distT="0" distB="0" distL="114300" distR="114300" simplePos="0" relativeHeight="251655168" behindDoc="0" locked="0" layoutInCell="1" allowOverlap="1">
            <wp:simplePos x="0" y="0"/>
            <wp:positionH relativeFrom="column">
              <wp:posOffset>799465</wp:posOffset>
            </wp:positionH>
            <wp:positionV relativeFrom="paragraph">
              <wp:posOffset>2811780</wp:posOffset>
            </wp:positionV>
            <wp:extent cx="3801110" cy="2988310"/>
            <wp:effectExtent l="0" t="0" r="8890" b="2540"/>
            <wp:wrapTopAndBottom/>
            <wp:docPr id="43" name="图片 43" descr="158246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82467581(1)"/>
                    <pic:cNvPicPr>
                      <a:picLocks noChangeAspect="1"/>
                    </pic:cNvPicPr>
                  </pic:nvPicPr>
                  <pic:blipFill>
                    <a:blip r:embed="rId7"/>
                    <a:stretch>
                      <a:fillRect/>
                    </a:stretch>
                  </pic:blipFill>
                  <pic:spPr>
                    <a:xfrm>
                      <a:off x="0" y="0"/>
                      <a:ext cx="3801110" cy="2988310"/>
                    </a:xfrm>
                    <a:prstGeom prst="rect">
                      <a:avLst/>
                    </a:prstGeom>
                  </pic:spPr>
                </pic:pic>
              </a:graphicData>
            </a:graphic>
          </wp:anchor>
        </w:drawing>
      </w:r>
      <w:r>
        <w:rPr>
          <w:rFonts w:hint="eastAsia" w:ascii="仿宋" w:hAnsi="仿宋" w:eastAsia="仿宋" w:cs="Times New Roman"/>
          <w:kern w:val="0"/>
          <w:sz w:val="32"/>
          <w:szCs w:val="32"/>
        </w:rPr>
        <w:drawing>
          <wp:anchor distT="0" distB="0" distL="114300" distR="114300" simplePos="0" relativeHeight="251652096" behindDoc="0" locked="0" layoutInCell="1" allowOverlap="1">
            <wp:simplePos x="0" y="0"/>
            <wp:positionH relativeFrom="column">
              <wp:posOffset>780415</wp:posOffset>
            </wp:positionH>
            <wp:positionV relativeFrom="paragraph">
              <wp:posOffset>125095</wp:posOffset>
            </wp:positionV>
            <wp:extent cx="3838575" cy="2411730"/>
            <wp:effectExtent l="0" t="0" r="9525" b="7620"/>
            <wp:wrapTopAndBottom/>
            <wp:docPr id="42" name="图片 42" descr="1582467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82467518(1)"/>
                    <pic:cNvPicPr>
                      <a:picLocks noChangeAspect="1"/>
                    </pic:cNvPicPr>
                  </pic:nvPicPr>
                  <pic:blipFill>
                    <a:blip r:embed="rId8"/>
                    <a:stretch>
                      <a:fillRect/>
                    </a:stretch>
                  </pic:blipFill>
                  <pic:spPr>
                    <a:xfrm>
                      <a:off x="0" y="0"/>
                      <a:ext cx="3838575" cy="2411730"/>
                    </a:xfrm>
                    <a:prstGeom prst="rect">
                      <a:avLst/>
                    </a:prstGeom>
                  </pic:spPr>
                </pic:pic>
              </a:graphicData>
            </a:graphic>
          </wp:anchor>
        </w:drawing>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以上红框状态说明当月已经完成清卡操作。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若开票软件无法自动完成抄报清卡，请按以下流程操作：进入“抄报税处理”模块--“上报汇总”—“远程清卡”；</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2、</w:t>
      </w:r>
      <w:r>
        <w:rPr>
          <w:rFonts w:ascii="Calibri" w:hAnsi="Calibri" w:eastAsia="仿宋" w:cs="Calibri"/>
          <w:kern w:val="0"/>
          <w:sz w:val="32"/>
          <w:szCs w:val="32"/>
        </w:rPr>
        <w:t> </w:t>
      </w:r>
      <w:r>
        <w:rPr>
          <w:rFonts w:hint="eastAsia" w:ascii="仿宋" w:hAnsi="仿宋" w:eastAsia="仿宋" w:cs="Times New Roman"/>
          <w:kern w:val="0"/>
          <w:sz w:val="32"/>
          <w:szCs w:val="32"/>
        </w:rPr>
        <w:t>增值税发票开票软件（税控盘版）</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确保联网状态，登陆开票软件会自动抄报税、反写，可通过设备状态查询核实是否清卡成功。状态中的以下几个日期如下说明反写成功：</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开票截止时间：2020-3-17</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数据报送起始日期：2020-2-1</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数据报送截止日期：2020-2-29</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若开票软件无法自动完成抄报清卡，请按以下流程操作：“报税处理”—“ 网上抄报”—“上传汇总”—“反写”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drawing>
          <wp:anchor distT="0" distB="0" distL="114300" distR="114300" simplePos="0" relativeHeight="251658240" behindDoc="0" locked="0" layoutInCell="1" allowOverlap="1">
            <wp:simplePos x="0" y="0"/>
            <wp:positionH relativeFrom="column">
              <wp:posOffset>1265555</wp:posOffset>
            </wp:positionH>
            <wp:positionV relativeFrom="paragraph">
              <wp:posOffset>153670</wp:posOffset>
            </wp:positionV>
            <wp:extent cx="2431415" cy="3599815"/>
            <wp:effectExtent l="0" t="0" r="6985" b="635"/>
            <wp:wrapTopAndBottom/>
            <wp:docPr id="45" name="图片 45" descr="158246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2467681"/>
                    <pic:cNvPicPr>
                      <a:picLocks noChangeAspect="1"/>
                    </pic:cNvPicPr>
                  </pic:nvPicPr>
                  <pic:blipFill>
                    <a:blip r:embed="rId9"/>
                    <a:stretch>
                      <a:fillRect/>
                    </a:stretch>
                  </pic:blipFill>
                  <pic:spPr>
                    <a:xfrm>
                      <a:off x="0" y="0"/>
                      <a:ext cx="2431415" cy="3599815"/>
                    </a:xfrm>
                    <a:prstGeom prst="rect">
                      <a:avLst/>
                    </a:prstGeom>
                  </pic:spPr>
                </pic:pic>
              </a:graphicData>
            </a:graphic>
          </wp:anchor>
        </w:drawing>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w:t>
      </w:r>
      <w:r>
        <w:rPr>
          <w:rFonts w:ascii="Calibri" w:hAnsi="Calibri" w:eastAsia="仿宋" w:cs="Calibri"/>
          <w:kern w:val="0"/>
          <w:sz w:val="32"/>
          <w:szCs w:val="32"/>
        </w:rPr>
        <w:t> </w:t>
      </w:r>
      <w:r>
        <w:rPr>
          <w:rFonts w:hint="eastAsia" w:ascii="仿宋" w:hAnsi="仿宋" w:eastAsia="仿宋" w:cs="Times New Roman"/>
          <w:kern w:val="0"/>
          <w:sz w:val="32"/>
          <w:szCs w:val="32"/>
        </w:rPr>
        <w:t>增值税发票开票软件（税务Ukey版）</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确保联网状态，登陆开票软件会自动抄报税、反写，可通过设备状态查询核实是否清卡成功。状态中的以下几个日期如下说明反写成功：</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开票截止时间：2020-3-17</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数据报送起始日期：2020-2-1</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数据报送截止日期：2020-2-29</w:t>
      </w:r>
    </w:p>
    <w:p>
      <w:pPr>
        <w:widowControl/>
        <w:adjustRightInd w:val="0"/>
        <w:snapToGrid w:val="0"/>
        <w:spacing w:line="360" w:lineRule="auto"/>
        <w:ind w:firstLine="643" w:firstLineChars="200"/>
        <w:jc w:val="left"/>
        <w:rPr>
          <w:rFonts w:ascii="仿宋" w:hAnsi="仿宋" w:eastAsia="仿宋" w:cs="Times New Roman"/>
          <w:kern w:val="0"/>
          <w:sz w:val="32"/>
          <w:szCs w:val="32"/>
        </w:rPr>
      </w:pPr>
      <w:r>
        <w:rPr>
          <w:rStyle w:val="222"/>
          <w:rFonts w:hint="eastAsia" w:ascii="仿宋" w:hAnsi="仿宋" w:eastAsia="仿宋"/>
          <w:b/>
          <w:bCs/>
          <w:color w:val="auto"/>
          <w:sz w:val="32"/>
          <w:szCs w:val="32"/>
          <w:u w:val="none"/>
        </w:rPr>
        <w:drawing>
          <wp:anchor distT="0" distB="0" distL="114300" distR="114300" simplePos="0" relativeHeight="251660288" behindDoc="0" locked="0" layoutInCell="1" allowOverlap="1">
            <wp:simplePos x="0" y="0"/>
            <wp:positionH relativeFrom="column">
              <wp:posOffset>1219200</wp:posOffset>
            </wp:positionH>
            <wp:positionV relativeFrom="paragraph">
              <wp:posOffset>568325</wp:posOffset>
            </wp:positionV>
            <wp:extent cx="2125345" cy="1583690"/>
            <wp:effectExtent l="0" t="0" r="8255" b="16510"/>
            <wp:wrapTopAndBottom/>
            <wp:docPr id="47" name="图片 47" descr="158246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82467780(1)"/>
                    <pic:cNvPicPr>
                      <a:picLocks noChangeAspect="1"/>
                    </pic:cNvPicPr>
                  </pic:nvPicPr>
                  <pic:blipFill>
                    <a:blip r:embed="rId10"/>
                    <a:stretch>
                      <a:fillRect/>
                    </a:stretch>
                  </pic:blipFill>
                  <pic:spPr>
                    <a:xfrm>
                      <a:off x="0" y="0"/>
                      <a:ext cx="2125345" cy="1583690"/>
                    </a:xfrm>
                    <a:prstGeom prst="rect">
                      <a:avLst/>
                    </a:prstGeom>
                  </pic:spPr>
                </pic:pic>
              </a:graphicData>
            </a:graphic>
          </wp:anchor>
        </w:drawing>
      </w:r>
      <w:r>
        <w:rPr>
          <w:rFonts w:hint="eastAsia" w:ascii="仿宋" w:hAnsi="仿宋" w:eastAsia="仿宋" w:cs="Times New Roman"/>
          <w:kern w:val="0"/>
          <w:sz w:val="32"/>
          <w:szCs w:val="32"/>
        </w:rPr>
        <w:t>若开票软件无法自动完成抄报清卡，请按以下流程操作：“报税处理”—“ 网上抄报”—“上传汇总”—“反写”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以上操作调整仅限于2020年2月实施。</w:t>
      </w:r>
    </w:p>
    <w:p>
      <w:pPr>
        <w:adjustRightInd w:val="0"/>
        <w:snapToGrid w:val="0"/>
        <w:spacing w:line="360" w:lineRule="auto"/>
        <w:ind w:firstLine="643" w:firstLineChars="200"/>
        <w:rPr>
          <w:rStyle w:val="222"/>
          <w:rFonts w:ascii="仿宋" w:hAnsi="仿宋" w:eastAsia="仿宋"/>
          <w:b/>
          <w:bCs/>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102" w:name="_Toc34141451"/>
      <w:bookmarkStart w:id="103" w:name="_Toc33451082"/>
      <w:r>
        <w:rPr>
          <w:rFonts w:hint="eastAsia" w:ascii="仿宋" w:hAnsi="仿宋" w:eastAsia="仿宋" w:cs="Times New Roman"/>
          <w:kern w:val="0"/>
        </w:rPr>
        <w:t>国家税务总局福建省税务局关于进一步延长2020年2月份纳税申报期限有关事项的通知</w:t>
      </w:r>
      <w:bookmarkEnd w:id="102"/>
      <w:bookmarkEnd w:id="103"/>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为了进一步支持疫情防控工作和企业复工复产，便利纳税人、扣缴义务人（以下简称纳税人）统筹办理纳税申报事项，根据国家税务总局统一部署，2020年2月份纳税申报期限再次延长至2月28日（星期五）。</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受疫情影响到2月28日仍无法办理纳税申报或延期申报的纳税人，可在3月份纳税申报期限之内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国家税务总局福建省税务局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2020年2月19日</w:t>
      </w:r>
    </w:p>
    <w:p>
      <w:pPr>
        <w:adjustRightInd w:val="0"/>
        <w:snapToGrid w:val="0"/>
        <w:spacing w:line="360" w:lineRule="auto"/>
        <w:ind w:firstLine="643" w:firstLineChars="200"/>
        <w:rPr>
          <w:rStyle w:val="222"/>
          <w:rFonts w:ascii="仿宋" w:hAnsi="仿宋" w:eastAsia="仿宋"/>
          <w:b/>
          <w:bCs/>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104" w:name="_Toc34141452"/>
      <w:bookmarkStart w:id="105" w:name="_Toc33451083"/>
      <w:r>
        <w:rPr>
          <w:rFonts w:hint="eastAsia" w:ascii="仿宋" w:hAnsi="仿宋" w:eastAsia="仿宋" w:cs="Times New Roman"/>
          <w:kern w:val="0"/>
        </w:rPr>
        <w:t>国家税务总局福建省税务局“非接触式”网上办税清单</w:t>
      </w:r>
      <w:bookmarkEnd w:id="104"/>
      <w:bookmarkEnd w:id="105"/>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为深入贯彻习近平总书记关于新冠肺炎疫情防控的一系列重要指示批示精神，全面落实党中央、国务院部署，福建省税务部门积极拓展“非接触式”办税缴费事项，在为纳税人、缴费人提供安全、高效、便利服务的同时，切实降低疫情传播风险。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按照“尽可能网上办”的原则，国家税务总局福建省税务局共梳理了195个涉税缴费事项可在网上办理。并制作了“非接触式”网上办税缴费事项清单（详见附件）。</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在此基础上，税务部门还将进一步依托电子税务局、微电子税务局、闽税通APP、微信公众号、邮寄、传真、电子邮件等，不断拓宽“非接触式”办税缴费渠道，更好地为纳税人、缴费人服务。</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附件：“非接触式”网上办税缴费事项清单　　</w:t>
      </w:r>
    </w:p>
    <w:tbl>
      <w:tblPr>
        <w:tblStyle w:val="88"/>
        <w:tblW w:w="7848"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15" w:type="dxa"/>
          <w:left w:w="15" w:type="dxa"/>
          <w:bottom w:w="15" w:type="dxa"/>
          <w:right w:w="15" w:type="dxa"/>
        </w:tblCellMar>
      </w:tblPr>
      <w:tblGrid>
        <w:gridCol w:w="1075"/>
        <w:gridCol w:w="6773"/>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tblHeader/>
          <w:jc w:val="center"/>
        </w:trPr>
        <w:tc>
          <w:tcPr>
            <w:tcW w:w="1075" w:type="dxa"/>
            <w:tcBorders>
              <w:tl2br w:val="nil"/>
              <w:tr2bl w:val="nil"/>
            </w:tcBorders>
            <w:shd w:val="clear" w:color="auto" w:fill="7030A0"/>
            <w:tcMar>
              <w:top w:w="0" w:type="dxa"/>
              <w:left w:w="108" w:type="dxa"/>
              <w:bottom w:w="0" w:type="dxa"/>
              <w:right w:w="108" w:type="dxa"/>
            </w:tcMar>
            <w:vAlign w:val="center"/>
          </w:tcPr>
          <w:p>
            <w:pPr>
              <w:widowControl/>
              <w:adjustRightInd w:val="0"/>
              <w:snapToGrid w:val="0"/>
              <w:jc w:val="center"/>
              <w:rPr>
                <w:rFonts w:ascii="仿宋" w:hAnsi="仿宋" w:eastAsia="仿宋" w:cs="Times New Roman"/>
                <w:b/>
                <w:bCs/>
                <w:kern w:val="0"/>
                <w:sz w:val="32"/>
                <w:szCs w:val="32"/>
              </w:rPr>
            </w:pPr>
            <w:r>
              <w:rPr>
                <w:rFonts w:hint="eastAsia" w:ascii="仿宋" w:hAnsi="仿宋" w:eastAsia="仿宋" w:cs="Times New Roman"/>
                <w:b/>
                <w:bCs/>
                <w:kern w:val="0"/>
                <w:sz w:val="32"/>
                <w:szCs w:val="32"/>
              </w:rPr>
              <w:t>序号</w:t>
            </w:r>
          </w:p>
        </w:tc>
        <w:tc>
          <w:tcPr>
            <w:tcW w:w="6773" w:type="dxa"/>
            <w:tcBorders>
              <w:tl2br w:val="nil"/>
              <w:tr2bl w:val="nil"/>
            </w:tcBorders>
            <w:shd w:val="clear" w:color="auto" w:fill="7030A0"/>
            <w:tcMar>
              <w:top w:w="0" w:type="dxa"/>
              <w:left w:w="108" w:type="dxa"/>
              <w:bottom w:w="0" w:type="dxa"/>
              <w:right w:w="108" w:type="dxa"/>
            </w:tcMar>
            <w:vAlign w:val="center"/>
          </w:tcPr>
          <w:p>
            <w:pPr>
              <w:widowControl/>
              <w:adjustRightInd w:val="0"/>
              <w:snapToGrid w:val="0"/>
              <w:jc w:val="center"/>
              <w:rPr>
                <w:rFonts w:ascii="仿宋" w:hAnsi="仿宋" w:eastAsia="仿宋" w:cs="Times New Roman"/>
                <w:b/>
                <w:bCs/>
                <w:kern w:val="0"/>
                <w:sz w:val="32"/>
                <w:szCs w:val="32"/>
              </w:rPr>
            </w:pPr>
            <w:r>
              <w:rPr>
                <w:rFonts w:hint="eastAsia" w:ascii="仿宋" w:hAnsi="仿宋" w:eastAsia="仿宋" w:cs="Times New Roman"/>
                <w:b/>
                <w:bCs/>
                <w:kern w:val="0"/>
                <w:sz w:val="32"/>
                <w:szCs w:val="32"/>
              </w:rPr>
              <w:t>税务事项名称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466"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一照一码户登记信息确认</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两证整合个体工商户登记信息确认</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两证整合个体工商户信息变更</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一照一码户信息变更</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税务登记信息变更（非“多证合一”“两证整合”纳税人）</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增值税一般纳税人登记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选择按小规模纳税人纳税的情况说明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一般纳税人转登记小规模纳税人</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货物运输业小规模纳税人异地代开增值税专用发票备案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出口退（免）税企业备案信息报告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退税商店资格信息报告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出口企业放弃退（免）税权报告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其他出口退（免）税备案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增值税适用加计抵减政策声明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存款账户账号报告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财务会计制度及核算软件备案报告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银税三方（委托）划缴协议</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综合税源信息报告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环境保护税税源信息采集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增量房房源信息报告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水资源税税源信息报告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建筑业项目报告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注销建筑业项目报告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不动产项目报告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注销不动产项目报告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房地产税收一体化信息报告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跨区域涉税事项报告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跨区域涉税事项报验</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29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跨区域涉税事项信息反馈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税收减免备案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停业登记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复业登记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企业所得税清算报备</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税务注销即时办理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注销扣缴税款登记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发票遗失、损毁报告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车辆生产企业报告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税务证件增补发</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39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文化事业建设费缴费信息报告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发票票种核定</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发票验（交）旧</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红字增值税专用发票开具及作废</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增值税税控系统专用设备变更发行</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增值税预缴申报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增值税一般纳税人申报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原油天然气增值税申报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增值税小规模纳税人申报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航空运输企业年度清算申报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49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消费税申报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居民企业（查账征收）企业所得税月（季）度申报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居民企业（查账征收）企业所得税年度申报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居民企业（核定征收）企业所得税月（季）度申报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居民企业（核定征收）企业所得税年度申报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清算企业所得税申报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企业所得税汇总纳税信息报告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非居民企业企业所得税自行申报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非居民企业企业所得税预缴申报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非居民企业企业所得税年度申报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59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关联业务往来年度报告申报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扣缴企业所得税报告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车辆购置税申报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城镇土地使用税、房产税申报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车船税申报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印花税申报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印花税票代售报告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委托代征证券交易印花税报告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代扣代缴证券交易印花税申报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烟叶税申报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69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耕地占用税申报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契税申报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资源税申报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水资源税申报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土地增值税预征申报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房地产项目尾盘销售土地增值税申报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其他情况土地增值税申报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土地增值税清算申报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环境保护税一般申报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环境保护税抽样测算及按次申报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79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附加税（费）申报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文化事业建设费申报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废弃电器电子产品处理基金申报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石油特别收益金申报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油价调控风险准备金申报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残疾人就业保障金申报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非税收入通用申报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通用申报（税及附征税费）</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定期定额户自行申报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委托代征报告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89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房产交易申报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申报错误更正</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申报作废</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逾期申报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财务报表数据转换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财务报表报送与信息采集（企业会计准则）</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财务报表报送与信息采集（小企业会计准则）</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财务报表报送与信息采集（企业会计制度）</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财务报表报送与信息采集（政府会计准则制度）</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财务报表报送与信息采集（其他会计制度）</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99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企业集团合并财务报表报送与信息采集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税收统计调查数据采集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对外合作开采石油企业信息采集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欠税人处置不动产或者大额资产报告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境内机构和个人发包工程作业或劳务项目备案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税费缴纳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开具税收完税证明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转开印花税票销售凭证</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转开税收缴款书（出口货物劳务专用）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中国税收居民身份证明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109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服务贸易等项目对外支付税务备案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出口退（免）税证明开具</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来料加工免税证明及核销办理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出口卷烟相关证明及免税核销办理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作废出口退（免）税证明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补办出口退（免）税证明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开具中央非税收入统一票据</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企业印制发票审批</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对纳税人延期缴纳税款核准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对纳税人延期申报核准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119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对纳税人变更纳税定额的核准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增值税专用发票（增值税税控系统）最高开票限额审批</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对采取实际利润额预缴以外的其他企业所得税预缴方式的核定</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变更税务行政许可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税收减免核准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定期定额户申请核定及调整定额</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农产品增值税进项税额扣除标准核定</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误收多缴退抵税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入库减免退抵税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汇算清缴结算多缴退抵税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129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车辆购置税退税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车船税退抵税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增值税期末留抵税额退税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石脑油、燃料油消费税退税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逾期增值税抵扣凭证抵扣管理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未按期申报抵扣增值税扣税凭证抵扣管理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出口货物劳务免退税申报核准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外国驻华使（领）馆及其馆员在华购买货物和服务增值税退税申报核准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外贸企业外购应税服务免退税申报核准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外贸综合服务企业代办退税申报核准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139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购进自用货物免退税申报核准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出口已使用过设备免退税申报核准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退税代理机构结算核准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航天发射业务免退税申报核准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生产企业出口非自产货物消费税退税申报核准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出口货物劳务免抵退税申报核准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增值税零税率应税服务免抵退税申报核准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生产企业进料加工业务免抵退税核销</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出口退（免）税延期申报核准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出口退（免）税凭证信息查询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149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出口退（免）税凭证无相关电子信息申报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出口退税资料报送与信息采集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纳税信用补评</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纳税信用复评</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延（分）期缴纳罚款申请审批</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涉税专业服务协议信息采集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涉税专业服务协议信息变更及终止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156</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涉税专业服务业务信息采集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涉税专业服务机构（人员）基本信息采集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158</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合并分立报告</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159</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一照一码户清税申报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160</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两证整合个体工商户清税申报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161</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注销税务登记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162</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发票领用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163</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代开增值税专用发票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164</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代开增值税普通发票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165</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代开发票作废</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166</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发票缴销</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167</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特别纳税调整数据采集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168</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税务代保管资金收取</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169</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预约定价安排谈签与执行</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170</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纳税担保申请确认</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171</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复议申请管理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172</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赔偿申请处理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173</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税务行政补偿</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174</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中国居民（国民）申请启动的相互协商程序</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175</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税务师事务所行政登记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176</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税务师事务所行政登记变更及终止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逾期抄报税远程解锁税控设备</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178</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个人所得税代扣代缴（预扣预缴）申报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179</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个人所得税股权奖励、转增股本分期纳税，股权激励、技术成果投资入股递延纳税，科技成果转化现金奖励等个人所得税备案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180</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个人所得税扣缴手续费申请</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181</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经营所得个人所得税月（季）度申报（A表）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182</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经营所得个人所得税年度申报（B表）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183</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多处经营所得个人所得税汇总年度申报（C表）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184</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专项附加扣除信息填报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185</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查询本人2019年1月1日起的收入纳税明细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186</w:t>
            </w:r>
          </w:p>
        </w:tc>
        <w:tc>
          <w:tcPr>
            <w:tcW w:w="6773" w:type="dxa"/>
            <w:tcBorders>
              <w:tl2br w:val="nil"/>
              <w:tr2bl w:val="nil"/>
            </w:tcBorders>
            <w:shd w:val="clear" w:color="auto" w:fill="FFFFFF"/>
            <w:tcMar>
              <w:top w:w="0" w:type="dxa"/>
              <w:left w:w="108" w:type="dxa"/>
              <w:bottom w:w="0" w:type="dxa"/>
              <w:right w:w="108" w:type="dxa"/>
            </w:tcMa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企业养老保险费申报、缴纳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187</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企业失业保险费申报、缴纳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188</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企业工伤保险费申报、缴纳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189</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机关事业单位养老保险费申报、缴纳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190</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企业医疗保险费、生育保险费缴纳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191</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城乡居民养老保险费银行批扣汇总申报、缴纳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192</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城乡居民医疗保险费银行批扣汇总申报、缴纳</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193</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城乡居民养老保险费缴纳（手机端）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194</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城乡居民医疗保险费缴纳（手机端）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0" w:hRule="atLeast"/>
          <w:jc w:val="center"/>
        </w:trPr>
        <w:tc>
          <w:tcPr>
            <w:tcW w:w="1075"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195</w:t>
            </w:r>
          </w:p>
        </w:tc>
        <w:tc>
          <w:tcPr>
            <w:tcW w:w="6773" w:type="dxa"/>
            <w:tcBorders>
              <w:tl2br w:val="nil"/>
              <w:tr2bl w:val="nil"/>
            </w:tcBorders>
            <w:shd w:val="clear" w:color="auto" w:fill="FFFFFF"/>
            <w:tcMar>
              <w:top w:w="0" w:type="dxa"/>
              <w:left w:w="108" w:type="dxa"/>
              <w:bottom w:w="0" w:type="dxa"/>
              <w:right w:w="108" w:type="dxa"/>
            </w:tcMar>
            <w:vAlign w:val="center"/>
          </w:tcPr>
          <w:p>
            <w:pPr>
              <w:widowControl/>
              <w:adjustRightInd w:val="0"/>
              <w:snapToGrid w:val="0"/>
              <w:jc w:val="left"/>
              <w:rPr>
                <w:rFonts w:ascii="仿宋" w:hAnsi="仿宋" w:eastAsia="仿宋" w:cs="Times New Roman"/>
                <w:kern w:val="0"/>
                <w:sz w:val="32"/>
                <w:szCs w:val="32"/>
              </w:rPr>
            </w:pPr>
            <w:r>
              <w:rPr>
                <w:rFonts w:hint="eastAsia" w:ascii="仿宋" w:hAnsi="仿宋" w:eastAsia="仿宋" w:cs="Times New Roman"/>
                <w:kern w:val="0"/>
                <w:sz w:val="32"/>
                <w:szCs w:val="32"/>
              </w:rPr>
              <w:t>　　灵活就业人员养老保险费缴纳（手机端）</w:t>
            </w:r>
          </w:p>
        </w:tc>
      </w:tr>
    </w:tbl>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06" w:name="_Toc34141453"/>
      <w:bookmarkStart w:id="107" w:name="_Toc33451084"/>
      <w:r>
        <w:rPr>
          <w:rFonts w:hint="eastAsia" w:ascii="仿宋" w:hAnsi="仿宋" w:eastAsia="仿宋" w:cs="Times New Roman"/>
          <w:kern w:val="0"/>
        </w:rPr>
        <w:t>国家税务总局福建省税务局关于受理个人所得税综合所得汇算清缴纳税人邮寄申报的通知</w:t>
      </w:r>
      <w:bookmarkEnd w:id="106"/>
      <w:bookmarkEnd w:id="107"/>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办理2019年度个人所得税综合所得汇算清缴事项的公告》（2019年第44号），为便利纳税人，我省税务机关为纳税人提供高效、快捷的网络办税渠道，纳税人可优先通过手机个人所得税APP、福建省网上税务局办理年度汇算，不方便通过上述方式办理的，可以到办税服务厅办理或通过邮寄方式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现对我省各设区市局个人所得税综合所得汇算清缴纳税人邮寄申报受理单位信息进行公告，请选择邮寄申报的纳税人根据以下信息，将申报表寄送至任职受雇单位（没有任职受雇单位的，为户籍或者经常居住地）所在税务局指定的受理税务机关，以便工作人员接收、处理您的纳税申报资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"http://fujian.chinatax.gov.cn/zfxxgkzl/zfxxgkml/gzdt/xxgktzgg/202002/P020200221319751392772.xlsx" </w:instrText>
      </w:r>
      <w:r>
        <w:fldChar w:fldCharType="separate"/>
      </w:r>
      <w:r>
        <w:rPr>
          <w:rStyle w:val="222"/>
          <w:rFonts w:hint="eastAsia" w:ascii="仿宋" w:hAnsi="仿宋" w:eastAsia="仿宋" w:cs="Times New Roman"/>
          <w:color w:val="auto"/>
          <w:kern w:val="0"/>
          <w:sz w:val="32"/>
          <w:szCs w:val="32"/>
        </w:rPr>
        <w:t>福建省税务系统个人所得税综合所得汇算清缴邮寄申报受理单位信息.xlsx</w:t>
      </w:r>
      <w:r>
        <w:rPr>
          <w:rStyle w:val="222"/>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国家税务总局福建省税务局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2020年2月21日</w:t>
      </w:r>
      <w:r>
        <w:rPr>
          <w:rFonts w:ascii="Calibri" w:hAnsi="Calibri" w:eastAsia="仿宋" w:cs="Calibri"/>
          <w:kern w:val="0"/>
          <w:sz w:val="32"/>
          <w:szCs w:val="32"/>
        </w:rPr>
        <w:t> </w:t>
      </w:r>
    </w:p>
    <w:p>
      <w:pPr>
        <w:pStyle w:val="830"/>
        <w:adjustRightInd w:val="0"/>
        <w:snapToGrid w:val="0"/>
        <w:spacing w:before="0" w:after="0" w:line="360" w:lineRule="auto"/>
        <w:jc w:val="center"/>
        <w:rPr>
          <w:rFonts w:ascii="仿宋" w:hAnsi="仿宋" w:eastAsia="仿宋" w:cs="Times New Roman"/>
          <w:bCs w:val="0"/>
          <w:kern w:val="0"/>
        </w:rPr>
      </w:pPr>
      <w:bookmarkStart w:id="108" w:name="_Toc34141454"/>
      <w:bookmarkStart w:id="109" w:name="_Toc33451147"/>
      <w:r>
        <w:rPr>
          <w:rFonts w:hint="eastAsia" w:ascii="仿宋" w:hAnsi="仿宋" w:eastAsia="仿宋" w:cs="Times New Roman"/>
          <w:bCs w:val="0"/>
          <w:kern w:val="0"/>
        </w:rPr>
        <w:t>国家税务总局厦门市税务局关于进一步延长</w:t>
      </w:r>
      <w:r>
        <w:rPr>
          <w:rFonts w:ascii="仿宋" w:hAnsi="仿宋" w:eastAsia="仿宋" w:cs="Times New Roman"/>
          <w:bCs w:val="0"/>
          <w:kern w:val="0"/>
        </w:rPr>
        <w:t>2020年2月份纳税申报期限有关事项的通知</w:t>
      </w:r>
      <w:bookmarkEnd w:id="108"/>
      <w:bookmarkEnd w:id="109"/>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根据《国家税务总局关于进一步延长</w:t>
      </w:r>
      <w:r>
        <w:rPr>
          <w:rFonts w:ascii="仿宋" w:hAnsi="仿宋" w:eastAsia="仿宋" w:cs="Times New Roman"/>
          <w:kern w:val="0"/>
          <w:sz w:val="32"/>
          <w:szCs w:val="32"/>
        </w:rPr>
        <w:t>2020年2月份纳税申报期限有关事项的通知》（税总函〔2020〕27号），对按月申报的纳税人，2020年2月份纳税申报期限延长至2月28日（星期五），特此通知。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"http://xiamen.chinatax.gov.cn/fgk/L3449.html" </w:instrText>
      </w:r>
      <w:r>
        <w:fldChar w:fldCharType="separate"/>
      </w:r>
      <w:r>
        <w:rPr>
          <w:rStyle w:val="222"/>
          <w:rFonts w:hint="eastAsia" w:ascii="仿宋" w:hAnsi="仿宋" w:eastAsia="仿宋" w:cs="Times New Roman"/>
          <w:color w:val="auto"/>
          <w:kern w:val="0"/>
          <w:sz w:val="32"/>
          <w:szCs w:val="32"/>
        </w:rPr>
        <w:t>《国家税务总局关于进一步延长</w:t>
      </w:r>
      <w:r>
        <w:rPr>
          <w:rStyle w:val="222"/>
          <w:rFonts w:ascii="仿宋" w:hAnsi="仿宋" w:eastAsia="仿宋" w:cs="Times New Roman"/>
          <w:color w:val="auto"/>
          <w:kern w:val="0"/>
          <w:sz w:val="32"/>
          <w:szCs w:val="32"/>
        </w:rPr>
        <w:t>2020年2月份纳税申报期限有关事项的通知》（税总函〔2020〕27号）</w:t>
      </w:r>
      <w:r>
        <w:rPr>
          <w:rStyle w:val="222"/>
          <w:rFonts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国家税务总局厦门市税务局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2020年2月18日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10" w:name="_Toc34141455"/>
      <w:bookmarkStart w:id="111" w:name="_Toc33451148"/>
      <w:r>
        <w:rPr>
          <w:rFonts w:hint="eastAsia" w:ascii="仿宋" w:hAnsi="仿宋" w:eastAsia="仿宋" w:cs="Times New Roman"/>
          <w:bCs w:val="0"/>
          <w:kern w:val="0"/>
        </w:rPr>
        <w:t>国家税务总局厦门市税务局关于暂免办理个体工商户分月汇总申报的通知</w:t>
      </w:r>
      <w:bookmarkEnd w:id="110"/>
      <w:bookmarkEnd w:id="111"/>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尊敬的定期定额个体工商户纳税人：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按照“放管服”改革的要求，为进一步减轻纳税人的办税负担，根据国家税务总局部署，厦门市税务局拟于</w:t>
      </w:r>
      <w:r>
        <w:rPr>
          <w:rFonts w:ascii="仿宋" w:hAnsi="仿宋" w:eastAsia="仿宋" w:cs="Times New Roman"/>
          <w:kern w:val="0"/>
          <w:sz w:val="32"/>
          <w:szCs w:val="32"/>
        </w:rPr>
        <w:t>2020年1月1日（所属期2019年）起在厦门市全市范围内试点取消个体工商户分月汇总申报。实行定期定额征收的个体工商户纳税人自2020年起暂免办理上一年度个体工商户分月汇总申报。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特此通知。</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国家税务总局厦门市税务局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2020年2月20日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12" w:name="_Toc34141456"/>
      <w:bookmarkStart w:id="113" w:name="_Toc33451149"/>
      <w:r>
        <w:rPr>
          <w:rFonts w:hint="eastAsia" w:ascii="仿宋" w:hAnsi="仿宋" w:eastAsia="仿宋" w:cs="Times New Roman"/>
          <w:bCs w:val="0"/>
          <w:kern w:val="0"/>
        </w:rPr>
        <w:t>国家税务总局厦门市税务局关于厦门市电子税务局上线出口退税备案功能的通知</w:t>
      </w:r>
      <w:bookmarkEnd w:id="112"/>
      <w:bookmarkEnd w:id="113"/>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各有关企业：</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厦门市电子税务局已经实现出口退税备案功能，疫情防控期间，纳税人可通过厦门市电子税务局提交电子数据后，即可申请办理出口退（免）税备案事项，暂无需报送相关纸质资料，按照现行规定应报送的相关纸质资料，纳税人应妥善留存，待疫情结束后补报给主管税务机关，主管税务机关予以复核。相关操作步骤如下（生产企业与外贸企业的出口退免税备案操作流程相同，以外贸企业为例）：</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厦门市税务局网站软件下载目录下载安装出口退税申报系统后，在备案申请向导—退（免）税备案数据采集—出口退（免）税备案按照提示录入相关数据内容，新增录入相关信息后，即可在出口退税申报系统生成备案数据申报压缩包；</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2.登录厦门市电子税务局，在“我要办税—综合信息报告—资格信息报告—出口退（免）税企业备案信息报告”下将申报压缩包上传提交至税务机关审核；</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3.上传提交后，待税务机关审核完毕，可在电子税务局下载审核结果，并在出口退税申报系统读入反馈信息。</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国家税务总局厦门市税务局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2020年2月21日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14" w:name="_Toc34141457"/>
      <w:bookmarkStart w:id="115" w:name="_Toc33451150"/>
      <w:r>
        <w:rPr>
          <w:rFonts w:hint="eastAsia" w:ascii="仿宋" w:hAnsi="仿宋" w:eastAsia="仿宋" w:cs="Times New Roman"/>
          <w:bCs w:val="0"/>
          <w:kern w:val="0"/>
        </w:rPr>
        <w:t>国家税务总局厦门市税务局关于暂不缴纳社保费的温馨提醒</w:t>
      </w:r>
      <w:bookmarkEnd w:id="114"/>
      <w:bookmarkEnd w:id="115"/>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各参保企业：</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按照国务院常务会议确定的阶段性减免企业社保费有关精神，有关部门近期将出台减免大中小微企业社保费的具体实施办法。为避免缴纳后再退费影响企业资金周转，建议参保企业暂不申报缴纳</w:t>
      </w:r>
      <w:r>
        <w:rPr>
          <w:rFonts w:ascii="仿宋" w:hAnsi="仿宋" w:eastAsia="仿宋" w:cs="Times New Roman"/>
          <w:kern w:val="0"/>
          <w:sz w:val="32"/>
          <w:szCs w:val="32"/>
        </w:rPr>
        <w:t>2020年2月份社会保险费，待有关部门出台相关实施办法后，我局将及时发布通知公告。</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另，对受疫情影响导致面临暂时性生产经营困难、确实无力足额缴纳社会保险费的企业，可继续提交缓缴社会保险费申请。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由此造成的不便敬请谅解。</w:t>
      </w:r>
      <w:r>
        <w:rPr>
          <w:rFonts w:ascii="仿宋" w:hAnsi="仿宋" w:eastAsia="仿宋" w:cs="Times New Roman"/>
          <w:kern w:val="0"/>
          <w:sz w:val="32"/>
          <w:szCs w:val="32"/>
        </w:rPr>
        <w:t xml:space="preserve">                    </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国家税务总局厦门市税务局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2020年2月21日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16" w:name="_Toc34141458"/>
      <w:bookmarkStart w:id="117" w:name="_Toc33451151"/>
      <w:r>
        <w:rPr>
          <w:rFonts w:hint="eastAsia" w:ascii="仿宋" w:hAnsi="仿宋" w:eastAsia="仿宋" w:cs="Times New Roman"/>
          <w:bCs w:val="0"/>
          <w:kern w:val="0"/>
        </w:rPr>
        <w:t>国家税务总局厦门市税务局关于公布应对新冠肺炎疫情扶持企业发展税收优惠政策办税指南的通知</w:t>
      </w:r>
      <w:bookmarkEnd w:id="116"/>
      <w:bookmarkEnd w:id="117"/>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各纳税人、缴费人：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坚决贯彻党中央、国务院关于打赢新型冠状病毒疫情防控阻击战的决策部署和税务总局、厦门市委市政府工作要求，强化税收支持，全力服务保障疫情防控，切实帮助企业解决实际困难，我局提出全力支持抗击新型冠状病毒疫情工作若干措施，并制定了《应对新冠肺炎疫情扶持企业发展税收优惠政策的办税指南》，现将办税指南予以公布。</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w:t>
      </w:r>
      <w:r>
        <w:fldChar w:fldCharType="begin"/>
      </w:r>
      <w:r>
        <w:instrText xml:space="preserve"> HYPERLINK "http://xiamen.chinatax.gov.cn/xmswcms/upload/file/20200221/1582272820657032811.xls?n=%E5%BA%94%E5%AF%B9%E6%96%B0%E5%86%A0%E8%82%BA%E7%82%8E%E7%96%AB%E6%83%85%E6%89%B6%E6%8C%81%E4%BC%81%E4%B8%9A%E5%8F%91%E5%B1%95%E7%A8%8E%E6%94%B6%E4%BC%98%E6%83%A0%E6%94%BF%E7%AD%96%E7%9A%84%E5%8A%9E%E7%A8%8E%E6%8C%87%E5%8D%97.xls" </w:instrText>
      </w:r>
      <w:r>
        <w:fldChar w:fldCharType="separate"/>
      </w:r>
      <w:r>
        <w:rPr>
          <w:rStyle w:val="222"/>
          <w:rFonts w:hint="eastAsia" w:ascii="仿宋" w:hAnsi="仿宋" w:eastAsia="仿宋" w:cs="Times New Roman"/>
          <w:color w:val="auto"/>
          <w:kern w:val="0"/>
          <w:sz w:val="32"/>
          <w:szCs w:val="32"/>
        </w:rPr>
        <w:t>应对新冠肺炎疫情扶持企业发展税收优惠政策的办税指南</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 xml:space="preserve">                       国家税务总局厦门市税务局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 xml:space="preserve">                            2020年2月20日</w:t>
      </w:r>
    </w:p>
    <w:p>
      <w:pPr>
        <w:widowControl/>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rPr>
          <w:rFonts w:ascii="仿宋" w:hAnsi="仿宋" w:eastAsia="仿宋"/>
          <w:color w:val="000000" w:themeColor="text1"/>
          <w:sz w:val="32"/>
          <w:szCs w:val="32"/>
        </w:rPr>
      </w:pPr>
      <w:bookmarkStart w:id="118" w:name="_Toc34141459"/>
      <w:r>
        <w:rPr>
          <w:rFonts w:hint="eastAsia" w:ascii="仿宋" w:hAnsi="仿宋" w:eastAsia="仿宋"/>
          <w:color w:val="000000" w:themeColor="text1"/>
          <w:sz w:val="32"/>
          <w:szCs w:val="32"/>
        </w:rPr>
        <w:t>（十四）江西省</w:t>
      </w:r>
      <w:bookmarkEnd w:id="118"/>
    </w:p>
    <w:p>
      <w:pPr>
        <w:pStyle w:val="5"/>
        <w:adjustRightInd w:val="0"/>
        <w:snapToGrid w:val="0"/>
        <w:spacing w:before="0" w:after="0" w:line="360" w:lineRule="auto"/>
        <w:jc w:val="center"/>
        <w:rPr>
          <w:rFonts w:ascii="仿宋" w:hAnsi="仿宋" w:eastAsia="仿宋" w:cs="Times New Roman"/>
          <w:kern w:val="0"/>
        </w:rPr>
      </w:pPr>
      <w:bookmarkStart w:id="119" w:name="_Toc33451066"/>
      <w:bookmarkStart w:id="120" w:name="_Toc34141460"/>
      <w:r>
        <w:rPr>
          <w:rFonts w:hint="eastAsia" w:ascii="仿宋" w:hAnsi="仿宋" w:eastAsia="仿宋" w:cs="Times New Roman"/>
          <w:kern w:val="0"/>
        </w:rPr>
        <w:t>国家税务总局江西省税务局关于进一步推动房地产及建筑业平稳健康发展的公告</w:t>
      </w:r>
      <w:bookmarkEnd w:id="119"/>
      <w:r>
        <w:rPr>
          <w:rFonts w:ascii="仿宋" w:hAnsi="仿宋" w:eastAsia="仿宋"/>
          <w:bCs w:val="0"/>
          <w:color w:val="000000" w:themeColor="text1"/>
        </w:rPr>
        <w:br w:type="textWrapping"/>
      </w:r>
      <w:r>
        <w:rPr>
          <w:rFonts w:hint="eastAsia" w:ascii="仿宋" w:hAnsi="仿宋" w:eastAsia="仿宋" w:cs="Times New Roman"/>
          <w:kern w:val="0"/>
        </w:rPr>
        <w:t>（国家税务总局江西省税务局公告2020年第2号）</w:t>
      </w:r>
      <w:bookmarkEnd w:id="120"/>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为进一步做好新型冠状病毒感染的肺炎疫情防控工作，推动房地产及建筑业平稳健康发展，结合我省实际，现将房地产及建筑业税收政策和征管有关问题公告如下：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一、房地产开发经营企业销售未完工开发产品的企业所得税计税毛利率按以下规定执行：</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（一）开发项目位于南昌市城区和郊区的，计税毛利率调整为17%；</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（二）开发项目位于南昌市以外其他设区市城区及郊区的，计税毛利率调整为15%；</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（三）开发项目位于上述（一）、（二）项以外其他地区的，计税毛利率调整为12%。</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（四）开发项目属于经济适用房、限价房和危改房的，计税毛利率为3%。</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二、对具有《企业所得税核定征收办法（试行）》（国税发〔2008〕30号印发）第三条第一款规定应当核定征收企业所得税六种情形之一的建筑企业，其核定应税所得率不低于9%。</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三、疫情防控期间，实行土地增值税核定征收的纳税人，转让非住宅的核定征收率调整为7%；符合清算条件但未按规定办理清算手续，经税务机关责令限期清算，逾期仍不清算的，核定征收率调整为9%。</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四、生产经营活动受新冠肺炎疫情影响较大的房地产、建筑企业，如当期货币资金扣除应付工资、社保费用后，不足以缴纳税款的，允许企业按规定程序依法办理延期缴纳税款。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五、提供建筑服务的一般纳税人按规定适用或选择适用简易计税方法计税的，以下证明材料无需向税务机关报送，由企业自行留存备查：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（一）为建筑工程老项目提供的建筑服务，留存《建筑工程施工许可证》或建筑工程承包合同；</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（二）为甲供工程提供的建筑服务、以清包工方式提供的建筑服务，留存建筑工程承包合同。</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六、境内的单位和个人为施工地点在境外的工程项目提供建筑服务按照规定可免征增值税的，凡与发包方签订的建筑合同注明施工地点在境外的，无需提供工程项目在境外的其他证明材料。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七、疫情防控期间，对需要享受契税优惠的纳税人，其家庭住房套数证明材料可以暂不提供，改由纳税人作出诚信保证。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八、本公告自2020年1月1日起施行，《国家税务总局江西省税务局关于房地产开发经营企业销售未完工开发产品计税毛利率有关问题的公告》（国家税务总局江西省税务局公告2019年第3号）同时废止。《江西省地方税务局关于调整土地增值税预征率及核定征收率的公告》（江西省地方税务局公告2017年第1号）第二条中“转让非住宅，按8%”“符合应清算条件但未按规定期限办理清算手续，经税务机关责令限期清算，逾期仍不清算的，按10%核定征收”的规定在疫情防控期间暂停施行。</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关于《国家税务总局江西省税务局关于发挥税收职能作用进一步推动房地产及建筑业平稳健康发展的公告》的政策解读</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一、公告背景</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贯彻落实江西省人民政府关于有效应对疫情推动房地产及建筑业平稳健康发展专题会议精神，助力我省房地产及建筑业企业有效应对疫情，解决其经营困难、企业资金压力较大等问题，结合我省纳税人实际情况，在税法及税务总局税务规范性文件规定权限内，国家税务总局江西省税务局对房地产及建筑业纳税人有关业务的企业所得税计税毛利率、核定应税所得率和土地增值税核定征收率进行了调整，同时对落实放管服改革的有关措施予以明确，以促进房地产及建筑业平稳健康发展。</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二、公告内容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本公告主要包括：</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（一）房地产开发经营企业销售未完工开发产品的企业所得税计税毛利率降低2到3个百分点。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（二）降低应当核定征收企业所得税的建筑企业的核定应税所得率。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（三）疫情防控期间，适当降低部分土地增值税业务的核定征收率。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（五）提供建筑服务的一般纳税人按规定适用或选择适用简易计税方法计税的，证明材料无需向税务机关报送，由纳税人自行留存备查。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（六）境内的单位和个人为施工地点在境外的工程项目提供建筑服务按照规定可免征增值税的，凡与发包方签订的建筑合同注明施工地点在境外的，无需提供工程项目在境外的其他证明材料。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（七）疫情防控期间，对需要享受契税优惠的纳税人，其家庭住房套数证明材料可暂不提供，改由纳税人作出诚信保证。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三、施行时间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减轻房地产及建筑业纳税人因疫情带来的不利影响，及时享受政策红利，保持税收征管方式全年统一口径，本公告自2020年1月１日起施行。《江西省地方税务局关于调整土地增值税预征率及核定征收率的公告》（江西省地方税务局公告2017年第1号）第二条中“转让非住宅，按8%”“符合应清算条件但未按规定期限办理清算手续，经税务机关责令限期清算，逾期仍不清算的，按10%核定征收”的规定在疫情防控期间暂停施行。</w:t>
      </w:r>
    </w:p>
    <w:p>
      <w:pPr>
        <w:widowControl/>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21" w:name="_Toc34141461"/>
      <w:r>
        <w:rPr>
          <w:rFonts w:hint="eastAsia" w:ascii="仿宋" w:hAnsi="仿宋" w:eastAsia="仿宋"/>
          <w:color w:val="000000" w:themeColor="text1"/>
          <w:sz w:val="32"/>
          <w:szCs w:val="32"/>
        </w:rPr>
        <w:t>（十五）山东省</w:t>
      </w:r>
      <w:bookmarkEnd w:id="121"/>
    </w:p>
    <w:p>
      <w:pPr>
        <w:pStyle w:val="5"/>
        <w:adjustRightInd w:val="0"/>
        <w:snapToGrid w:val="0"/>
        <w:spacing w:before="0" w:after="0" w:line="360" w:lineRule="auto"/>
        <w:ind w:firstLine="643" w:firstLineChars="200"/>
        <w:jc w:val="center"/>
        <w:rPr>
          <w:rFonts w:ascii="仿宋" w:hAnsi="仿宋" w:eastAsia="仿宋" w:cs="Times New Roman"/>
          <w:kern w:val="0"/>
        </w:rPr>
      </w:pPr>
      <w:bookmarkStart w:id="122" w:name="_Toc34141462"/>
      <w:bookmarkStart w:id="123" w:name="_Toc33451076"/>
      <w:r>
        <w:rPr>
          <w:rFonts w:hint="eastAsia" w:ascii="仿宋" w:hAnsi="仿宋" w:eastAsia="仿宋" w:cs="Times New Roman"/>
          <w:kern w:val="0"/>
        </w:rPr>
        <w:t>国家税务总局山东省税务局大企业税费优惠政策汇编特刊</w:t>
      </w:r>
      <w:bookmarkEnd w:id="122"/>
      <w:bookmarkEnd w:id="123"/>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积极支持大企业复工复产，帮助纳税人、缴费人及时准确掌握和充分适用各项税费政策，确保纳税人实实在在享受到相关税费优惠和高效便捷的办税服务，我们集中整理了当前国家层面、山东省内适用于大企业的支持疫情防控、复工复产的税费优惠政策，形成《大企业税费优惠政策汇编特刊》，本刊收录的文件截至2020年2月21日，具体执行时请进一步参照最新发布的法律、法规、规章及规范性文件的规定。</w:t>
      </w:r>
    </w:p>
    <w:p>
      <w:pPr>
        <w:adjustRightInd w:val="0"/>
        <w:snapToGrid w:val="0"/>
        <w:spacing w:line="360" w:lineRule="auto"/>
        <w:ind w:firstLine="640" w:firstLineChars="200"/>
        <w:rPr>
          <w:rStyle w:val="222"/>
          <w:rFonts w:ascii="仿宋" w:hAnsi="仿宋" w:eastAsia="仿宋" w:cs="Times New Roman"/>
          <w:color w:val="auto"/>
          <w:kern w:val="0"/>
          <w:sz w:val="32"/>
          <w:szCs w:val="32"/>
        </w:rPr>
      </w:pPr>
      <w:r>
        <w:rPr>
          <w:rFonts w:hint="eastAsia" w:ascii="仿宋" w:hAnsi="仿宋" w:eastAsia="仿宋" w:cs="Times New Roman"/>
          <w:kern w:val="0"/>
          <w:sz w:val="32"/>
          <w:szCs w:val="32"/>
        </w:rPr>
        <w:t>附件：</w:t>
      </w:r>
      <w:r>
        <w:rPr>
          <w:rFonts w:hint="eastAsia" w:ascii="仿宋" w:hAnsi="仿宋" w:eastAsia="仿宋" w:cs="Times New Roman"/>
          <w:kern w:val="0"/>
          <w:sz w:val="32"/>
          <w:szCs w:val="32"/>
        </w:rPr>
        <w:fldChar w:fldCharType="begin"/>
      </w:r>
      <w:r>
        <w:rPr>
          <w:rFonts w:hint="eastAsia" w:ascii="仿宋" w:hAnsi="仿宋" w:eastAsia="仿宋" w:cs="Times New Roman"/>
          <w:kern w:val="0"/>
          <w:sz w:val="32"/>
          <w:szCs w:val="32"/>
        </w:rPr>
        <w:instrText xml:space="preserve"> HYPERLINK "http://shandong.chinatax.gov.cn/module/download/downfile.jsp?classid=0&amp;filename=e74752b29ef248ac88f9dbf11fc8a13b.pdf" </w:instrText>
      </w:r>
      <w:r>
        <w:rPr>
          <w:rFonts w:hint="eastAsia" w:ascii="仿宋" w:hAnsi="仿宋" w:eastAsia="仿宋" w:cs="Times New Roman"/>
          <w:kern w:val="0"/>
          <w:sz w:val="32"/>
          <w:szCs w:val="32"/>
        </w:rPr>
        <w:fldChar w:fldCharType="separate"/>
      </w:r>
      <w:r>
        <w:rPr>
          <w:rStyle w:val="222"/>
          <w:rFonts w:hint="eastAsia" w:ascii="仿宋" w:hAnsi="仿宋" w:eastAsia="仿宋" w:cs="Times New Roman"/>
          <w:color w:val="auto"/>
          <w:kern w:val="0"/>
          <w:sz w:val="32"/>
          <w:szCs w:val="32"/>
        </w:rPr>
        <w:t>抗疫情 保增长 春风吹进大企业——大企业税费优惠政策汇编特刊.pdf</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fldChar w:fldCharType="end"/>
      </w:r>
    </w:p>
    <w:p>
      <w:pPr>
        <w:pStyle w:val="5"/>
        <w:adjustRightInd w:val="0"/>
        <w:snapToGrid w:val="0"/>
        <w:spacing w:before="0" w:after="0" w:line="360" w:lineRule="auto"/>
        <w:jc w:val="center"/>
        <w:rPr>
          <w:rFonts w:ascii="仿宋" w:hAnsi="仿宋" w:eastAsia="仿宋" w:cs="Times New Roman"/>
          <w:kern w:val="0"/>
        </w:rPr>
      </w:pPr>
      <w:bookmarkStart w:id="124" w:name="_Toc33451077"/>
      <w:bookmarkStart w:id="125" w:name="_Toc34141463"/>
      <w:r>
        <w:rPr>
          <w:rFonts w:hint="eastAsia" w:ascii="仿宋" w:hAnsi="仿宋" w:eastAsia="仿宋" w:cs="Times New Roman"/>
          <w:kern w:val="0"/>
        </w:rPr>
        <w:t>国家税务总局山东省税务局关于积极发挥税收职能作用支持新冠肺炎疫情防控工作的通知</w:t>
      </w:r>
      <w:bookmarkEnd w:id="124"/>
      <w:r>
        <w:rPr>
          <w:rFonts w:ascii="仿宋" w:hAnsi="仿宋" w:eastAsia="仿宋"/>
          <w:bCs w:val="0"/>
          <w:color w:val="000000" w:themeColor="text1"/>
        </w:rPr>
        <w:br w:type="textWrapping"/>
      </w:r>
      <w:r>
        <w:rPr>
          <w:rFonts w:hint="eastAsia" w:ascii="仿宋" w:hAnsi="仿宋" w:eastAsia="仿宋" w:cs="Times New Roman"/>
          <w:kern w:val="0"/>
        </w:rPr>
        <w:t>（鲁税发〔2020〕8号）</w:t>
      </w:r>
      <w:bookmarkEnd w:id="125"/>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国家税务总局山东省各市税务局,国家税务总局山东省黄河三角洲农业高新技术产业示范区税务局,局内各单位:</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的重要指示批示精神,全面落实党中央、国务院和国家税务总局、省委省政府关于疫情防控的决策部署,充分发挥税收职能作用,助力打赢疫情防控总体战、阻击战,现对全省各级税务机关提出以下要求,请认真贯彻落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一、提高思想认识,着力担当作为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目前,新冠肺炎疫情防控形势仍然严峻,保障人民群众生命安全和身体健康不受疫病侵害的任务仍然艰巨,当此关头,税务部门参与疫情防控责无旁贷。全省各级税务机关要以高度的思想自觉、政治自觉和行动自觉全力参与疫情防控。在做好自身防控的同时,采取有效措施落实国家和我省支持新冠肺炎疫情防控的税费政策,主动为纳税人提供更加便捷安全的办税服务,为打赢疫情防控战役作出积极努力。</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二、落实优惠政策,助力疫情防控</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支持防护救治。全省各级税务机关应严格落实参与防护救治人员和医疗机构的税费优惠政策,最大限度支持医护人员和医疗机构集中精力参与防治工作。疫情防控期间,对符合条件的非营利组织根据需要提出的免税资格申请,省局将联合省财政厅及时进行审核确认并随时公布名单。暂缓对医院等参与防控、防疫的单位和个人开展2019年度个人所得税汇算清缴。相关政策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自2020年1月1日起,对参加疫情防治工作的医务人员和防疫工作者按照各级政府规定标准取得的临时性工作补助和奖金,免征个人所得税。对省级及省级以上人民政府规定的对参与疫情防控人员的临时性工作补助和奖金,比照执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2.自2020年1月1日起,单位发给个人用于预防新型冠状病毒感染的肺炎的药品、医疗用品和防护用品等实物(不包括现金),不计入工资、薪金收入,免征个人所得税。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3.对省政府、国务院部委以及外国组织、国际组织颁发的卫生等方面的奖金免征个人所得税。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4.对新冠肺炎定点医疗机构等非营利性医疗机构提供的医疗服务免征增值税;对其自产自用的制剂,免征增值税;对其自用的房产、土地,免征房产税、城镇土地使用税。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5.对疾病控制机构按照国家规定价格取得的卫生服务收入(含疫苗接种和调拨、销售收入),按规定免征各项税收;对其自用的房产、土地,免征房产税、城镇土地使用税。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6.对企业从县级以上各级人民政府财政部门及其他部门取得的用于新型冠状病毒肺炎疫情防控的财政性资金,符合规定的,作为不征企业所得税收入,在计算企业所得税应纳税所得额时从收入总额中减除。</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支持物资供应。全省各级税务机关应加强与同级发改、工信等部门的沟通,及时了解国家发改委和工信部确定的疫情防控重点保障物资的具体范围,及时获取省级以上发改和工信部门确定的疫情防控重点保障物资生产企业名单,对照名单通过现有“非接触式”渠道逐一开展政策宣传并了解企业的涉税诉求,辅导其享受有利于复工复产和充分释放产能的税费优惠政策。对生产销售用于新冠肺炎疫情防控的药品、医疗器械的企业,在落实增值税留抵退税政策过程中优先予以支持。相关政策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7.自2020年1月1日起,疫情防控重点保障物资生产企业可以按月向主管税务机关申请全额退还与2019年12月底相比新增加的增值税期末留抵税额。(纳税申报后申请退还)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8.自2020年1月1日起,对疫情防控重点保障物资生产企业为扩大产能新购置的相关设备,允许一次性计入当期成本费用在企业所得税税前扣除。</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9.自2020年1月1日起,对纳税人运输疫情防控重点保障物资取得的收入,免征增值税、城市维护建设税、教育费附加和地方教育附加。</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10.自2020年1月1日起,对纳税人提供公共交通运输服务、生活服务,以及为居民提供必需生活物资快递收派服务取得的收入,免征增值税、城市维护建设税、教育费附加和地方教育附加。</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11.对从事农产品批发、零售的纳税人销售的部分鲜活肉蛋产品免征增值税。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12.对从事蔬菜批发、零售的纳税人销售的蔬菜免征增值税。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13.抢险救灾物资运输结算凭证,免征印花税。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支持公益捐赠。疫情防控期间,对符合条件的公益性社会组织根据需要填报的《公益性社会组织公益性捐赠税前扣除资格情况表》,省局将联合省财政厅和省民政厅及时进行审核确认并随时公布名单。相关政策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14.自2020年1月1日起,企业和个人通过公益性社会组织或者县级以上人民政府及其部门等国家机关,捐赠用于应对新冠肺炎疫情的现金和物品,允许在计算企业所得税或个人所得税应纳税所得额时全额扣除。</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15.自2020年1月1日起,企业和个人直接向承担疫情防治任务的医院捐赠用于应对新型冠状病毒感染的肺炎疫情的物品,允许在计算企业所得税或个人所得税应纳税所得额时全额扣除。</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自2020年1月1日起,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和地方教育附加。</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支持复工复产。主管税务机关应及时了解辖区内受疫情影响较大的困难行业企业(交通运输、餐饮、住宿、旅游企业)的经营情况,有针对性地对其进行政策宣传辅导,帮助企业渡过难关并复工复产。相关政策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17.自2020年1月1日起,受疫情影响较大的困难行业企业2020年度发生的亏损,最长结转年限由5年延长至8年。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18.纳税人因疫情影响不能按期缴纳税款的,经有权税务机关批准,可以延期缴纳税款,最长不超过3个月。</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19.因疫情影响遭受重大损失,纳税人缴纳城镇土地使用税、房产税确有困难的,经县税务机关核准,减征或者免征城镇土地使用税、房产税。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20.用人单位遇不可抗力自然灾害或其他突发事件遭受重大直接经济损失,可以申请减免或者缓缴残疾人就业保障金,具体办法由省财政部门另行规定。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支持科研攻关。全省各级税务机关应关注新冠肺炎防治药品、试剂、疫苗、器械研发机构和企业,及时辅导落实好相关税费优惠政策,支持其加快科研攻关。主管税务机关应为高新技术企业培育库内企业建立台账,辅导其规范账务管理等,帮助企业早日符合标准,享受税收优惠。相关政策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 xml:space="preserve">21.药品生产企业销售自产新冠肺炎创新药的销售额,为向购买方收取的全部价款和价外费用,其提供给患者后续免费使用的相同创新型创新药,不属于增值税视同销售范围。 </w:t>
      </w:r>
      <w:r>
        <w:rPr>
          <w:rFonts w:ascii="Calibri" w:hAnsi="Calibri" w:eastAsia="仿宋" w:cs="Calibri"/>
          <w:kern w:val="0"/>
          <w:sz w:val="32"/>
          <w:szCs w:val="32"/>
        </w:rPr>
        <w:t>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22.企业开展新型冠状病毒肺炎防治新药研发活动,按规定享受企业所得税研发费用税前加计扣除政策。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23.国家需要重点扶持的高新技术企业,减按15%的税率征收企业所得税。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24.自2018年1月1日起,当年具备高新技术企业或科技型中小企业资格的企业,其具备资格年度之前5个年度发生的尚未弥补完的亏损,准予结转以后年度弥补,最长结转年限由5年延长至10年。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25.自2016年5月1日起,纳税人提供技术转让、技术开发和与之相关的技术咨询、技术服务,免征增值税。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26.一个纳税年度内,居民企业技术转让所得不超过500万元的部分,免征企业所得税;超过500万元的部分,减半征收企业所得税。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27.非营利性科研机构自用的房产、土地,免征房产税、城镇土地使用税。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三、拓展线上办税,防止疫情传播</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(六)优化企业开办线上流程。进一步完善电子税务局功能,设置新办企业操作指引,对企业开办涉税事项实行一套资料、一次提交、一次采集、一次办结。</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推行增值税发票网上申领。引导实名认证纳税人通过电子税务局进行增值税发票网上申领,实现自动验旧、物流限时配送,让纳税人足不出户即可坐等发票上门。增值税发票使用数量调整和增值税专用发票最高开票限额调整申请,可通过电子税务局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(八)推广增值税发票网上选择确认。将取消增值税发票认证范围扩大到所有纳税人。大力推广“山东省增值税发票选择确认平台”,引导纳税人使用该平台查询、办理业务。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(九)扩大自行开具增值税专用发票范围。加大增值税发票管理系统宣传推广力度,积极引导增值税小规模纳税人(其他个人除外)使用该系统自行开具增值税专用发票。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(十)加大电子发票推广力度。积极引导纳税人使用电子发票,不断扩大增值税电子发票公共服务平台应用范围,优化税控器具电子发票开具功能,规范第三方平台服务及收费,切实保障纳税人权益。</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(十一)线上办理个税汇算清缴。积极引导纳税人,通过自然人电子税务局或个人所得税手机APP办理2019年度个人所得税综合所得汇算清缴,并为其提供申报表预填服务。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二)优化不动产交易办税流程。在现有征管模式基础上,加快与不动产登记部门的业务融合,积极推行“外网提交、内网审核、在线缴税”的非接触网上办税模式。充分利用大数据,实现税费网上和移动客户端缴纳。</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(十三)线上缴纳车辆购置税。广泛宣传网上办理车辆购置税缴纳业务,让实名注册纳税人可通过电子税务局缴纳税款。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(十四)拓展社保费线上缴费渠道。推行机关事业单位社保费网上申报和缴费,提高网上申报比例。进一步拓展城乡居民社保费医保费缴费渠道,大力推行微信、支付宝、线上银行和电子税务局等自助缴费方式。</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五)提速出口退税业务办理。在企业自愿的前提下,实现无纸化退税申报的全覆盖。与口岸办等部门密切配合,积极推广国际贸易“单一窗口”退税申报功能应用,让出口企业可通过电子税务局和国际贸易“单一窗口”申报出口退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六)强化线上税费咨询服务。通过“减税降费综合监控服务平台”和电子税务局等渠道,向纳税人推送疫情防控税费优惠政策和办税指引的链接地址,引导纳税人及时了解和准确享受税费优惠。设立网办专员,配备专人负责通过电话、“鲁税通”征纳互动平台等渠道向疫情防护用品和救援物资生产经营企业及个人宣传辅导电子税务局、手机APP、邮寄等非接触式办税方法,帮助纳税人快速掌握和正确使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四、优化现场办税,营造安全环境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七)确保安全办理。疫情防控期间,全省各地办税服务厅上班时间严格按照当地政府统一安排执行。办税服务厅和政务大厅办税区域应严格做好通风和消毒等工作,同时应主动提醒纳税人关注省局官网发布的《国家税务总局山东省税务局致全省纳税人、缴费人的一封信》,积极建议纳税人选择电子税务局、手机APP、邮寄等“非接触式”途径办理业务,尽量减少现场办税次数,降低交叉感染的风险。</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(十八)开辟绿色通道。办税服务厅开设专门窗口,对疫情防护用品和救援物资生产经营企业现场办理税费业务的,实施绿色通道免排队服务。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(十九)拓展预约办理。办税服务厅正常上班时间之外,实施“急事急办、特事特办、帮办代办”,提供预约即办服务;遇有特殊困难可上门办理业务。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(二十)推行容缺办理。对纳税人现场办理涉税事宜时提供的相关资料不齐全但不影响实质性审核的,由其作出书面补正承诺,可暂缓提交纸质资料,按正常程序为其办理。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五、调整管理措施,帮助企业解困</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一)依法延长申报纳税期限。2020年2月份纳税申报期限延长至2月28日。疫情防控期间,对纳税人、扣缴义务人因疫情原因,不能按期办理纳税申报或扣缴税款申报的,可依法办理延期申报;对确有困难,无法到厅提出申请的,可采用网上申请方式,经确认后容缺办理,待疫情解除后再行补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(二十二)依法办理延期缴纳。对疫情防护用品和救援物资生产经营企业提出延期缴纳税款申请的,可通过电子税务局办理,如遇特殊情况也可委托主管税务机关办税服务厅受理转报。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三)切实保障发票供应。对生产和销售医疗救治设备、检测仪器、防护用品、消杀制剂、药品等疫情防控重点保障物资以及对此类物资提供运输服务的纳税人,申请增值税发票“增版”“增量”的,暂不需事前实地查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四)优化税务执法方式。进一步落实“无风险不检查、无批准不进户、无违法不停票”的要求,在疫情防控期间,减少或推迟直接入户检查,对需要到纳税人生产经营所在地进行现场调查核实的事项,经本级税务机关负责人确认,可延至疫情得到控制或结束后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五)依法加强权益保障。对受疫情影响逾期申报或逾期报送相关资料的纳税人,免予行政处罚,相关记录不纳入纳税信用评价;对逾期未申报的纳税人,暂不按现行规定认定非正常户。对行政复议申请人因受疫情影响耽误法定申请期限的,申请期限自影响消除之日起继续计算;对不能参加行政复议听证等情形,税务机关依法中止审理,待疫情影响消除后及时恢复。对疫情防护用品和救援物资生产经营企业发起的各类纳税服务投诉实行提速处理,自受理之日起3个工作日内办结。</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(二十六)暂缓开展发票摇奖。自2020年2月1日起,暂缓开展有奖发票定期摇奖活动。</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国家税务总局山东省税务局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2020年2月18日</w:t>
      </w:r>
    </w:p>
    <w:p>
      <w:pPr>
        <w:adjustRightInd w:val="0"/>
        <w:snapToGrid w:val="0"/>
        <w:spacing w:line="360" w:lineRule="auto"/>
        <w:ind w:firstLine="640" w:firstLineChars="200"/>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26" w:name="_Toc34141464"/>
      <w:bookmarkStart w:id="127" w:name="_Toc33451078"/>
      <w:r>
        <w:rPr>
          <w:rFonts w:hint="eastAsia" w:ascii="仿宋" w:hAnsi="仿宋" w:eastAsia="仿宋" w:cs="Times New Roman"/>
          <w:kern w:val="0"/>
        </w:rPr>
        <w:t>国家税务总局山东省税务局关于电子发票服务平台接入验证工作的公告</w:t>
      </w:r>
      <w:bookmarkEnd w:id="126"/>
      <w:bookmarkEnd w:id="127"/>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 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r>
        <w:rPr>
          <w:rFonts w:ascii="Calibri" w:hAnsi="Calibri" w:eastAsia="仿宋" w:cs="Calibri"/>
          <w:kern w:val="0"/>
          <w:sz w:val="32"/>
          <w:szCs w:val="32"/>
        </w:rPr>
        <w:t>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(七)税务机关对上报资料进行验证,向电子发票服务平台厂商反馈验证情况,并做好记录。验证通过的,即可通过各省税务局增值税发票管理系统(2.0版)生产环境正式接入(地址:https://218.57.142.46:9001)。</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附件:增值税电子发票服务平台安全管理保证书</w:t>
      </w:r>
    </w:p>
    <w:p>
      <w:pPr>
        <w:adjustRightInd w:val="0"/>
        <w:snapToGrid w:val="0"/>
        <w:spacing w:line="360" w:lineRule="auto"/>
        <w:ind w:firstLine="640" w:firstLineChars="200"/>
        <w:jc w:val="center"/>
        <w:rPr>
          <w:rFonts w:ascii="仿宋" w:hAnsi="仿宋" w:eastAsia="仿宋" w:cs="Times New Roman"/>
          <w:kern w:val="0"/>
          <w:sz w:val="32"/>
          <w:szCs w:val="32"/>
        </w:rPr>
      </w:pPr>
      <w:r>
        <w:rPr>
          <w:rFonts w:hint="eastAsia" w:ascii="仿宋" w:hAnsi="仿宋" w:eastAsia="仿宋" w:cs="Times New Roman"/>
          <w:kern w:val="0"/>
          <w:sz w:val="32"/>
          <w:szCs w:val="32"/>
        </w:rPr>
        <w:t>增值税电子发票服务平台安全管理保证书</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联系人: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联系电话:</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邮箱地址: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法人代表签名:</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XX公司(电子发票服务平台所有者)(签章)</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年</w:t>
      </w:r>
      <w:r>
        <w:rPr>
          <w:rFonts w:ascii="Calibri" w:hAnsi="Calibri" w:eastAsia="仿宋" w:cs="Calibri"/>
          <w:kern w:val="0"/>
          <w:sz w:val="32"/>
          <w:szCs w:val="32"/>
        </w:rPr>
        <w:t> </w:t>
      </w:r>
      <w:r>
        <w:rPr>
          <w:rFonts w:hint="eastAsia" w:ascii="仿宋" w:hAnsi="仿宋" w:eastAsia="仿宋" w:cs="Times New Roman"/>
          <w:kern w:val="0"/>
          <w:sz w:val="32"/>
          <w:szCs w:val="32"/>
        </w:rPr>
        <w:t xml:space="preserve"> </w:t>
      </w:r>
      <w:r>
        <w:rPr>
          <w:rFonts w:ascii="Calibri" w:hAnsi="Calibri" w:eastAsia="仿宋" w:cs="Calibri"/>
          <w:kern w:val="0"/>
          <w:sz w:val="32"/>
          <w:szCs w:val="32"/>
        </w:rPr>
        <w:t> </w:t>
      </w:r>
      <w:r>
        <w:rPr>
          <w:rFonts w:hint="eastAsia" w:ascii="仿宋" w:hAnsi="仿宋" w:eastAsia="仿宋" w:cs="Times New Roman"/>
          <w:kern w:val="0"/>
          <w:sz w:val="32"/>
          <w:szCs w:val="32"/>
        </w:rPr>
        <w:t xml:space="preserve"> 月</w:t>
      </w:r>
      <w:r>
        <w:rPr>
          <w:rFonts w:ascii="Calibri" w:hAnsi="Calibri" w:eastAsia="仿宋" w:cs="Calibri"/>
          <w:kern w:val="0"/>
          <w:sz w:val="32"/>
          <w:szCs w:val="32"/>
        </w:rPr>
        <w:t> </w:t>
      </w:r>
      <w:r>
        <w:rPr>
          <w:rFonts w:hint="eastAsia" w:ascii="仿宋" w:hAnsi="仿宋" w:eastAsia="仿宋" w:cs="Times New Roman"/>
          <w:kern w:val="0"/>
          <w:sz w:val="32"/>
          <w:szCs w:val="32"/>
        </w:rPr>
        <w:t xml:space="preserve"> </w:t>
      </w:r>
      <w:r>
        <w:rPr>
          <w:rFonts w:ascii="Calibri" w:hAnsi="Calibri" w:eastAsia="仿宋" w:cs="Calibri"/>
          <w:kern w:val="0"/>
          <w:sz w:val="32"/>
          <w:szCs w:val="32"/>
        </w:rPr>
        <w:t> </w:t>
      </w:r>
      <w:r>
        <w:rPr>
          <w:rFonts w:hint="eastAsia" w:ascii="仿宋" w:hAnsi="仿宋" w:eastAsia="仿宋" w:cs="Times New Roman"/>
          <w:kern w:val="0"/>
          <w:sz w:val="32"/>
          <w:szCs w:val="32"/>
        </w:rPr>
        <w:t xml:space="preserve"> 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28" w:name="_Toc33451153"/>
      <w:bookmarkStart w:id="129" w:name="_Toc34141465"/>
      <w:r>
        <w:rPr>
          <w:rFonts w:hint="eastAsia" w:ascii="仿宋" w:hAnsi="仿宋" w:eastAsia="仿宋" w:cs="Times New Roman"/>
          <w:bCs w:val="0"/>
          <w:kern w:val="0"/>
        </w:rPr>
        <w:t>国家税务总局青岛市税务局关于电子发票服务平台接入验证工作的公告</w:t>
      </w:r>
      <w:bookmarkEnd w:id="128"/>
      <w:bookmarkEnd w:id="129"/>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w:t>
      </w:r>
      <w:r>
        <w:rPr>
          <w:rFonts w:ascii="仿宋" w:hAnsi="仿宋" w:eastAsia="仿宋" w:cs="Times New Roman"/>
          <w:kern w:val="0"/>
          <w:sz w:val="32"/>
          <w:szCs w:val="32"/>
        </w:rPr>
        <w:t>2.0版）生产环境正式接入（地址：https://einv.qingdao.chinatax.gov.cn:8006）。</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"http://qingdao.chinatax.gov.cn/xxgk2019/tztg/202002/P020200217599308762982.doc"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国家税务总局青岛市税务局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2020年2月17日</w:t>
      </w:r>
    </w:p>
    <w:p>
      <w:pPr>
        <w:widowControl/>
        <w:shd w:val="clear" w:color="auto" w:fill="FFFFFF"/>
        <w:jc w:val="center"/>
        <w:outlineLvl w:val="0"/>
        <w:rPr>
          <w:rFonts w:ascii="仿宋" w:hAnsi="仿宋" w:eastAsia="仿宋" w:cs="宋体"/>
          <w:b/>
          <w:bCs/>
          <w:kern w:val="36"/>
          <w:sz w:val="32"/>
          <w:szCs w:val="32"/>
        </w:rPr>
      </w:pPr>
      <w:bookmarkStart w:id="130" w:name="_Toc34127476"/>
      <w:r>
        <w:rPr>
          <w:rFonts w:hint="eastAsia" w:ascii="仿宋" w:hAnsi="仿宋" w:eastAsia="仿宋" w:cs="宋体"/>
          <w:b/>
          <w:bCs/>
          <w:kern w:val="36"/>
          <w:sz w:val="32"/>
          <w:szCs w:val="32"/>
        </w:rPr>
        <w:t xml:space="preserve">        </w:t>
      </w:r>
      <w:bookmarkStart w:id="131" w:name="_Toc34141466"/>
      <w:r>
        <w:rPr>
          <w:rFonts w:hint="eastAsia" w:ascii="仿宋" w:hAnsi="仿宋" w:eastAsia="仿宋" w:cs="宋体"/>
          <w:b/>
          <w:bCs/>
          <w:kern w:val="36"/>
          <w:sz w:val="32"/>
          <w:szCs w:val="32"/>
        </w:rPr>
        <w:t>国家税务总局山东省税务局关于阶段性降低职工基本医疗保险缴费费率的通知</w:t>
      </w:r>
      <w:bookmarkEnd w:id="130"/>
      <w:bookmarkStart w:id="132" w:name="_Toc34127477"/>
      <w:r>
        <w:rPr>
          <w:rFonts w:hint="eastAsia" w:ascii="仿宋" w:hAnsi="仿宋" w:eastAsia="仿宋" w:cs="宋体"/>
          <w:b/>
          <w:kern w:val="0"/>
          <w:sz w:val="32"/>
          <w:szCs w:val="32"/>
        </w:rPr>
        <w:t>鲁医保发〔2020〕9号</w:t>
      </w:r>
      <w:bookmarkEnd w:id="131"/>
      <w:bookmarkEnd w:id="132"/>
    </w:p>
    <w:p>
      <w:pPr>
        <w:widowControl/>
        <w:shd w:val="clear" w:color="auto" w:fill="FFFFFF"/>
        <w:spacing w:before="100" w:beforeAutospacing="1" w:after="100" w:afterAutospacing="1" w:line="480" w:lineRule="auto"/>
        <w:jc w:val="left"/>
        <w:rPr>
          <w:rFonts w:ascii="仿宋" w:hAnsi="仿宋" w:eastAsia="仿宋" w:cs="宋体"/>
          <w:kern w:val="0"/>
          <w:sz w:val="32"/>
          <w:szCs w:val="32"/>
        </w:rPr>
      </w:pPr>
      <w:r>
        <w:rPr>
          <w:rFonts w:hint="eastAsia" w:ascii="仿宋" w:hAnsi="仿宋" w:eastAsia="仿宋" w:cs="宋体"/>
          <w:kern w:val="0"/>
          <w:sz w:val="32"/>
          <w:szCs w:val="32"/>
        </w:rPr>
        <w:t>各市医疗保障局、财政局、国家税务总局山东省各市税务局：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为深入贯彻落实党中央、国务院关于疫情防控工作的决策部署，全力支持企事业单位应对疫情，减轻企业缴费压力，支持企业复工复产、扩大生产，根据《山东省人民政府印发关于积极应对新冠肺炎疫情做好稳就业工作的若干措施的通知》（鲁政发〔2020〕5号）文件规定，自2020年3月1日起，阶段性下调职工基本医疗保险缴费费率，将单位缴费费率在现行费率标准的基础上下调1个百分点，执行期限至2020年12月31日，2021年1月1日起恢复原缴费费率。上述政策适用于各类企业、机关事业单位、社会团体、民办非企业单位等组织和个体工商户、灵活就业人员等。</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本通知下发后，各相关部门要加强协作，密切配合，精心组织实施，及时调整业务信息系统，确保阶段性降低费率政策尽快落地见效。</w:t>
      </w:r>
    </w:p>
    <w:p>
      <w:pPr>
        <w:widowControl/>
        <w:shd w:val="clear" w:color="auto" w:fill="FFFFFF"/>
        <w:spacing w:before="100" w:beforeAutospacing="1" w:after="100" w:afterAutospacing="1" w:line="480" w:lineRule="auto"/>
        <w:jc w:val="right"/>
        <w:rPr>
          <w:rFonts w:ascii="仿宋" w:hAnsi="仿宋" w:eastAsia="仿宋" w:cs="宋体"/>
          <w:kern w:val="0"/>
          <w:sz w:val="32"/>
          <w:szCs w:val="32"/>
        </w:rPr>
      </w:pPr>
      <w:r>
        <w:rPr>
          <w:rFonts w:hint="eastAsia" w:ascii="仿宋" w:hAnsi="仿宋" w:eastAsia="仿宋" w:cs="宋体"/>
          <w:kern w:val="0"/>
          <w:sz w:val="32"/>
          <w:szCs w:val="32"/>
        </w:rPr>
        <w:t>　　　　　　　　　　　　　　　　　　　　　　　　　山东省医疗保障局　山东省财政厅　</w:t>
      </w:r>
    </w:p>
    <w:p>
      <w:pPr>
        <w:widowControl/>
        <w:shd w:val="clear" w:color="auto" w:fill="FFFFFF"/>
        <w:spacing w:before="100" w:beforeAutospacing="1" w:after="100" w:afterAutospacing="1" w:line="480" w:lineRule="auto"/>
        <w:jc w:val="right"/>
        <w:rPr>
          <w:rFonts w:ascii="仿宋" w:hAnsi="仿宋" w:eastAsia="仿宋" w:cs="宋体"/>
          <w:kern w:val="0"/>
          <w:sz w:val="32"/>
          <w:szCs w:val="32"/>
        </w:rPr>
      </w:pPr>
      <w:r>
        <w:rPr>
          <w:rFonts w:hint="eastAsia" w:ascii="仿宋" w:hAnsi="仿宋" w:eastAsia="仿宋" w:cs="宋体"/>
          <w:kern w:val="0"/>
          <w:sz w:val="32"/>
          <w:szCs w:val="32"/>
        </w:rPr>
        <w:t>国家税务总局山东省税务局　　　　　　　　　　　　　　　　　　　　　　　　　　　　　　　　　　　2020年2月18</w:t>
      </w:r>
    </w:p>
    <w:p>
      <w:pPr>
        <w:adjustRightInd w:val="0"/>
        <w:snapToGrid w:val="0"/>
        <w:spacing w:line="360" w:lineRule="auto"/>
        <w:ind w:firstLine="640" w:firstLineChars="200"/>
        <w:jc w:val="left"/>
        <w:rPr>
          <w:rFonts w:ascii="仿宋" w:hAnsi="仿宋" w:eastAsia="仿宋" w:cs="Times New Roman"/>
          <w:kern w:val="0"/>
          <w:sz w:val="32"/>
          <w:szCs w:val="32"/>
        </w:rPr>
      </w:pPr>
    </w:p>
    <w:p>
      <w:pPr>
        <w:widowControl/>
        <w:shd w:val="clear" w:color="auto" w:fill="FFFFFF"/>
        <w:ind w:firstLine="643" w:firstLineChars="200"/>
        <w:jc w:val="center"/>
        <w:outlineLvl w:val="0"/>
        <w:rPr>
          <w:rFonts w:ascii="仿宋" w:hAnsi="仿宋" w:eastAsia="仿宋" w:cs="宋体"/>
          <w:b/>
          <w:bCs/>
          <w:kern w:val="36"/>
          <w:sz w:val="32"/>
          <w:szCs w:val="32"/>
        </w:rPr>
      </w:pPr>
      <w:bookmarkStart w:id="133" w:name="_Toc34127474"/>
      <w:r>
        <w:rPr>
          <w:rFonts w:hint="eastAsia" w:ascii="仿宋" w:hAnsi="仿宋" w:eastAsia="仿宋" w:cs="宋体"/>
          <w:b/>
          <w:bCs/>
          <w:kern w:val="36"/>
          <w:sz w:val="32"/>
          <w:szCs w:val="32"/>
        </w:rPr>
        <w:t xml:space="preserve">        </w:t>
      </w:r>
      <w:bookmarkStart w:id="134" w:name="_Toc34141467"/>
      <w:r>
        <w:rPr>
          <w:rFonts w:hint="eastAsia" w:ascii="仿宋" w:hAnsi="仿宋" w:eastAsia="仿宋" w:cs="宋体"/>
          <w:b/>
          <w:bCs/>
          <w:kern w:val="36"/>
          <w:sz w:val="32"/>
          <w:szCs w:val="32"/>
        </w:rPr>
        <w:t>国家税务总局山东省税务局关于发布“非接触式”网上办税缴费事项清单的通告</w:t>
      </w:r>
      <w:bookmarkEnd w:id="133"/>
      <w:bookmarkStart w:id="135" w:name="_Toc34127475"/>
      <w:r>
        <w:rPr>
          <w:rFonts w:hint="eastAsia" w:ascii="仿宋" w:hAnsi="仿宋" w:eastAsia="仿宋" w:cs="宋体"/>
          <w:b/>
          <w:kern w:val="0"/>
          <w:sz w:val="32"/>
          <w:szCs w:val="32"/>
        </w:rPr>
        <w:t>国家税务总局山东省税务局通告〔2020〕2号</w:t>
      </w:r>
      <w:bookmarkEnd w:id="134"/>
      <w:bookmarkEnd w:id="135"/>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为深入贯彻习近平总书记关于新冠肺炎疫情防控的一系列重要指示批示精神，全面落实党中央、国务院、山东省委省政府工作部署，国家税务总局山东省税务局积极拓展“非接触式”办税缴费事项，在疫情防控期间为纳税人、缴费人提供安全、高效、便捷的办税缴费服务，降低疫情传播风险。</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一、清单内容</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按照“尽可能网上办”的原则，山东省税务局制作了《“非接触式”网上办税缴费事项清单》（详见附件），共有232个涉税缴费事项可实现网上办理。</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二、清单事项网上办理渠道</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1、山东省电子税务局（简称：电子税务局）网址：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https://etax.shandong.chinatax.gov.cn</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2、山东省电子税务局移动APP（简称：移动APP）下载地址（扫描移动办税二维码）：</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https://etax.shandong.chinatax.gov.cn/enterprise/dzswjlogin/dzswj_login.jsp</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3、“山东税务”微信公众号-微信办税（扫描微信公众号二维码）</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https://etax.shandong.chinatax.gov.cn/enterprise/dzswjlogin/dzswj_login.jsp</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4、自然人电子税务局 网址：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https://etax.chinatax.gov.cn</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5、自然人电子税务局扣缴端 下载网址：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http://shandong.chinatax.gov.cn/col/col1014/index.html</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6、个人所得税APP端 下载地址：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https://etax.chinatax.gov.cn</w:t>
      </w:r>
      <w:r>
        <w:rPr>
          <w:rFonts w:ascii="Calibri" w:hAnsi="Calibri" w:eastAsia="仿宋" w:cs="Calibri"/>
          <w:kern w:val="0"/>
          <w:sz w:val="32"/>
          <w:szCs w:val="32"/>
        </w:rPr>
        <w:t> </w:t>
      </w:r>
      <w:r>
        <w:rPr>
          <w:rFonts w:hint="eastAsia" w:ascii="仿宋" w:hAnsi="仿宋" w:eastAsia="仿宋" w:cs="宋体"/>
          <w:kern w:val="0"/>
          <w:sz w:val="32"/>
          <w:szCs w:val="32"/>
        </w:rPr>
        <w:t xml:space="preserve"> 扫码下载，或在各大应用商店直接搜索个人所得税 下载</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7、单位社保费管理客户端下载网址</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http://shandong.chinatax.gov.cn/art/2018/11/24/art_1014_1650.html</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8、增值税发票综合服务平台</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https://fpdk.shandong.chinatax.gov.cn</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9、全国增值税发票查验平台</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https://inv-veri.chinatax.gov.cn</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三、其他说明</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纳税人、缴费人办理清单之内的事项，如有操作类问题，可拨打技术服务电话96005656或登录www.96005656.com进行咨询，客服人员将辅导您网上办理。如网上办理仍有困难的，可联系各地办税服务厅提前预约办理，尽量减少排队时间，有效防控疫情。</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山东省税务部门将持续扩大“非接触式”网上办税缴费事项范围，动态更新网上办税清单，不断拓宽“非接触式”办税缴费渠道，更好地为纳税人、缴费人服务。</w:t>
      </w:r>
    </w:p>
    <w:p>
      <w:pPr>
        <w:widowControl/>
        <w:shd w:val="clear" w:color="auto" w:fill="FFFFFF"/>
        <w:spacing w:before="100" w:beforeAutospacing="1" w:after="100" w:afterAutospacing="1" w:line="480" w:lineRule="auto"/>
        <w:ind w:firstLine="480"/>
        <w:jc w:val="left"/>
        <w:rPr>
          <w:rFonts w:ascii="仿宋" w:hAnsi="仿宋" w:eastAsia="仿宋" w:cs="宋体"/>
          <w:kern w:val="0"/>
          <w:sz w:val="32"/>
          <w:szCs w:val="32"/>
        </w:rPr>
      </w:pPr>
      <w:r>
        <w:rPr>
          <w:rFonts w:hint="eastAsia" w:ascii="仿宋" w:hAnsi="仿宋" w:eastAsia="仿宋" w:cs="宋体"/>
          <w:kern w:val="0"/>
          <w:sz w:val="32"/>
          <w:szCs w:val="32"/>
        </w:rPr>
        <w:t>附件：</w:t>
      </w:r>
      <w:r>
        <w:fldChar w:fldCharType="begin"/>
      </w:r>
      <w:r>
        <w:instrText xml:space="preserve"> HYPERLINK "http://shandong.chinatax.gov.cn/module/download/downfile.jsp?classid=0&amp;filename=f4c05f529d3c4ab586fccf922ec73575.doc" </w:instrText>
      </w:r>
      <w:r>
        <w:fldChar w:fldCharType="separate"/>
      </w:r>
      <w:r>
        <w:rPr>
          <w:rFonts w:ascii="仿宋" w:hAnsi="仿宋" w:eastAsia="仿宋" w:cs="宋体"/>
          <w:kern w:val="0"/>
          <w:sz w:val="32"/>
          <w:szCs w:val="32"/>
        </w:rPr>
        <w:drawing>
          <wp:inline distT="0" distB="0" distL="0" distR="0">
            <wp:extent cx="152400" cy="152400"/>
            <wp:effectExtent l="0" t="0" r="0" b="0"/>
            <wp:docPr id="2" name="图片 2" descr="http://shandong.chinatax.gov.cn/module/jslib/icons/wor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handong.chinatax.gov.cn/module/jslib/icons/wor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Style w:val="222"/>
          <w:rFonts w:hint="eastAsia" w:ascii="仿宋" w:hAnsi="仿宋" w:eastAsia="仿宋" w:cs="宋体"/>
          <w:kern w:val="0"/>
          <w:sz w:val="32"/>
          <w:szCs w:val="32"/>
        </w:rPr>
        <w:t>山东省税务局”非接触式”网上办税缴费事项清单.doc</w:t>
      </w:r>
      <w:r>
        <w:rPr>
          <w:rStyle w:val="222"/>
          <w:rFonts w:hint="eastAsia" w:ascii="仿宋" w:hAnsi="仿宋" w:eastAsia="仿宋" w:cs="宋体"/>
          <w:kern w:val="0"/>
          <w:sz w:val="32"/>
          <w:szCs w:val="32"/>
        </w:rPr>
        <w:fldChar w:fldCharType="end"/>
      </w:r>
    </w:p>
    <w:p>
      <w:pPr>
        <w:widowControl/>
        <w:shd w:val="clear" w:color="auto" w:fill="FFFFFF"/>
        <w:spacing w:before="100" w:beforeAutospacing="1" w:after="100" w:afterAutospacing="1" w:line="480" w:lineRule="auto"/>
        <w:ind w:firstLine="482"/>
        <w:contextualSpacing/>
        <w:jc w:val="right"/>
        <w:rPr>
          <w:rFonts w:ascii="仿宋" w:hAnsi="仿宋" w:eastAsia="仿宋" w:cs="宋体"/>
          <w:kern w:val="0"/>
          <w:sz w:val="32"/>
          <w:szCs w:val="32"/>
        </w:rPr>
      </w:pPr>
      <w:r>
        <w:rPr>
          <w:rFonts w:hint="eastAsia" w:ascii="仿宋" w:hAnsi="仿宋" w:eastAsia="仿宋" w:cs="宋体"/>
          <w:kern w:val="0"/>
          <w:sz w:val="32"/>
          <w:szCs w:val="32"/>
        </w:rPr>
        <w:t>　　　　　　　　　　　　　　　　　　　　　　　　国家税务总局山东省税务局</w:t>
      </w:r>
    </w:p>
    <w:p>
      <w:pPr>
        <w:widowControl/>
        <w:shd w:val="clear" w:color="auto" w:fill="FFFFFF"/>
        <w:spacing w:before="100" w:beforeAutospacing="1" w:after="100" w:afterAutospacing="1" w:line="480" w:lineRule="auto"/>
        <w:ind w:firstLine="482"/>
        <w:contextualSpacing/>
        <w:jc w:val="right"/>
        <w:rPr>
          <w:rFonts w:ascii="仿宋" w:hAnsi="仿宋" w:eastAsia="仿宋" w:cs="宋体"/>
          <w:kern w:val="0"/>
          <w:sz w:val="32"/>
          <w:szCs w:val="32"/>
        </w:rPr>
      </w:pPr>
      <w:r>
        <w:rPr>
          <w:rFonts w:hint="eastAsia" w:ascii="仿宋" w:hAnsi="仿宋" w:eastAsia="仿宋" w:cs="宋体"/>
          <w:kern w:val="0"/>
          <w:sz w:val="32"/>
          <w:szCs w:val="32"/>
        </w:rPr>
        <w:t>　　　　　　　　　　　　　　　　　　　　　　　　　　　　2020年2月24日</w:t>
      </w:r>
    </w:p>
    <w:p>
      <w:pPr>
        <w:adjustRightInd w:val="0"/>
        <w:snapToGrid w:val="0"/>
        <w:spacing w:line="360" w:lineRule="auto"/>
        <w:ind w:firstLine="640" w:firstLineChars="200"/>
        <w:jc w:val="left"/>
        <w:rPr>
          <w:rFonts w:ascii="仿宋" w:hAnsi="仿宋" w:eastAsia="仿宋" w:cs="Times New Roman"/>
          <w:kern w:val="0"/>
          <w:sz w:val="32"/>
          <w:szCs w:val="32"/>
        </w:rPr>
      </w:pPr>
    </w:p>
    <w:p>
      <w:pPr>
        <w:widowControl/>
        <w:adjustRightInd w:val="0"/>
        <w:snapToGrid w:val="0"/>
        <w:spacing w:line="360" w:lineRule="auto"/>
        <w:ind w:firstLine="640" w:firstLineChars="200"/>
        <w:jc w:val="left"/>
        <w:rPr>
          <w:rStyle w:val="215"/>
          <w:rFonts w:ascii="仿宋" w:hAnsi="仿宋" w:eastAsia="仿宋"/>
          <w:color w:val="auto"/>
          <w:sz w:val="32"/>
          <w:szCs w:val="32"/>
          <w:u w:val="none"/>
        </w:rPr>
      </w:pPr>
      <w:r>
        <w:rPr>
          <w:rStyle w:val="215"/>
          <w:rFonts w:ascii="仿宋" w:hAnsi="仿宋" w:eastAsia="仿宋"/>
          <w:color w:val="auto"/>
          <w:sz w:val="32"/>
          <w:szCs w:val="32"/>
          <w:u w:val="none"/>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36" w:name="_Toc34141468"/>
      <w:r>
        <w:rPr>
          <w:rFonts w:hint="eastAsia" w:ascii="仿宋" w:hAnsi="仿宋" w:eastAsia="仿宋"/>
          <w:color w:val="000000" w:themeColor="text1"/>
          <w:sz w:val="32"/>
          <w:szCs w:val="32"/>
        </w:rPr>
        <w:t>（十六）河南省</w:t>
      </w:r>
      <w:bookmarkEnd w:id="136"/>
    </w:p>
    <w:p>
      <w:pPr>
        <w:pStyle w:val="5"/>
        <w:adjustRightInd w:val="0"/>
        <w:snapToGrid w:val="0"/>
        <w:spacing w:before="0" w:after="0" w:line="360" w:lineRule="auto"/>
        <w:jc w:val="center"/>
        <w:rPr>
          <w:rFonts w:ascii="仿宋" w:hAnsi="仿宋" w:eastAsia="仿宋" w:cs="Times New Roman"/>
          <w:kern w:val="0"/>
        </w:rPr>
      </w:pPr>
      <w:bookmarkStart w:id="137" w:name="_Toc34141469"/>
      <w:bookmarkStart w:id="138" w:name="_Toc33451057"/>
      <w:r>
        <w:rPr>
          <w:rFonts w:hint="eastAsia" w:ascii="仿宋" w:hAnsi="仿宋" w:eastAsia="仿宋" w:cs="Times New Roman"/>
          <w:kern w:val="0"/>
        </w:rPr>
        <w:t>国家税务总局河南省税务局关于发布“非接触式”网上办税清单通知</w:t>
      </w:r>
      <w:bookmarkEnd w:id="137"/>
      <w:bookmarkEnd w:id="138"/>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的一系列重要指示批示精神，全面落实党中央、国务院部署，税务部门积极拓展“非接触式”办税缴费事项，在为纳税人、缴费人提供安全、高效、便利服务的同时，切实降低疫情传播风险。</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按照“尽可能网上办”的原则，河南省税务局共梳理了196个涉税缴费事项可在网上办理，制作了“非接触式”全程网上办事项清单（附件1）和“非接触式”线上线下融合办事项清单（附件2），现予以公告。相关事项的办理条件、办理方式可通过河南省电子税务局在线操作手册查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"http://henan.chinatax.gov.cn/xz/uploadfile/003/file/1581904657394.doc" </w:instrText>
      </w:r>
      <w:r>
        <w:fldChar w:fldCharType="separate"/>
      </w:r>
      <w:r>
        <w:rPr>
          <w:rStyle w:val="222"/>
          <w:rFonts w:hint="eastAsia" w:ascii="仿宋" w:hAnsi="仿宋" w:eastAsia="仿宋" w:cs="Times New Roman"/>
          <w:color w:val="auto"/>
          <w:kern w:val="0"/>
          <w:sz w:val="32"/>
          <w:szCs w:val="32"/>
        </w:rPr>
        <w:t>1.国家税务总局河南省税务局“非接触式”全程网上办事项清单</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"http://henan.chinatax.gov.cn/xz/uploadfile/003/file/1581904676882.doc" </w:instrText>
      </w:r>
      <w:r>
        <w:fldChar w:fldCharType="separate"/>
      </w:r>
      <w:r>
        <w:rPr>
          <w:rStyle w:val="222"/>
          <w:rFonts w:hint="eastAsia" w:ascii="仿宋" w:hAnsi="仿宋" w:eastAsia="仿宋" w:cs="Times New Roman"/>
          <w:color w:val="auto"/>
          <w:kern w:val="0"/>
          <w:sz w:val="32"/>
          <w:szCs w:val="32"/>
        </w:rPr>
        <w:t>2.国家税务总局河南省税务局“非接触式”线上线下融合办事项清单</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国家税务总局河南省税务局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rPr>
          <w:rStyle w:val="215"/>
          <w:rFonts w:ascii="仿宋" w:hAnsi="仿宋" w:eastAsia="仿宋"/>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139" w:name="_Toc34141470"/>
      <w:bookmarkStart w:id="140" w:name="_Toc33451058"/>
      <w:r>
        <w:rPr>
          <w:rFonts w:hint="eastAsia" w:ascii="仿宋" w:hAnsi="仿宋" w:eastAsia="仿宋" w:cs="Times New Roman"/>
          <w:kern w:val="0"/>
        </w:rPr>
        <w:t>国家税务总局河南省税务局关于电子发票服务平台接入验证工作的公告</w:t>
      </w:r>
      <w:bookmarkEnd w:id="139"/>
      <w:bookmarkEnd w:id="140"/>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1.准备两套厂商初始密钥（正式设备厂商保护公钥，测试设备厂商保护公钥），一套用于正式设备，一套用于长期测试设备,并分别提交到以下邮箱：国家税务总局邮箱地址：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，国家税务总局河南省税务局邮箱地址：</w:t>
      </w:r>
      <w:r>
        <w:fldChar w:fldCharType="begin"/>
      </w:r>
      <w:r>
        <w:instrText xml:space="preserve"> HYPERLINK "mailto:dzfptax_hn@163.com" </w:instrText>
      </w:r>
      <w:r>
        <w:fldChar w:fldCharType="separate"/>
      </w:r>
      <w:r>
        <w:rPr>
          <w:rFonts w:hint="eastAsia" w:ascii="仿宋" w:hAnsi="仿宋" w:eastAsia="仿宋" w:cs="Times New Roman"/>
          <w:kern w:val="0"/>
          <w:sz w:val="32"/>
          <w:szCs w:val="32"/>
        </w:rPr>
        <w:t>dzfptax_hn@163.com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分别发送至以下邮箱：国家税务总局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，国家税务总局河南省税务局邮箱地址：</w:t>
      </w:r>
      <w:r>
        <w:fldChar w:fldCharType="begin"/>
      </w:r>
      <w:r>
        <w:instrText xml:space="preserve"> HYPERLINK "mailto:dzfptax_hn@163.com" </w:instrText>
      </w:r>
      <w:r>
        <w:fldChar w:fldCharType="separate"/>
      </w:r>
      <w:r>
        <w:rPr>
          <w:rFonts w:hint="eastAsia" w:ascii="仿宋" w:hAnsi="仿宋" w:eastAsia="仿宋" w:cs="Times New Roman"/>
          <w:kern w:val="0"/>
          <w:sz w:val="32"/>
          <w:szCs w:val="32"/>
        </w:rPr>
        <w:t>dzfptax_hn@163.com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（六）电子发票服务平台厂商将待验证信息（包括：已上传发票的发票代码、号码、开票日期以及本张发票对应的版式文件），并分别提交到以下邮箱：国家税务总局邮箱地址：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，国家税务总局河南省税务局邮箱地址：</w:t>
      </w:r>
      <w:r>
        <w:fldChar w:fldCharType="begin"/>
      </w:r>
      <w:r>
        <w:instrText xml:space="preserve"> HYPERLINK "mailto:dzfptax_hn@163.com" </w:instrText>
      </w:r>
      <w:r>
        <w:fldChar w:fldCharType="separate"/>
      </w:r>
      <w:r>
        <w:rPr>
          <w:rFonts w:hint="eastAsia" w:ascii="仿宋" w:hAnsi="仿宋" w:eastAsia="仿宋" w:cs="Times New Roman"/>
          <w:kern w:val="0"/>
          <w:sz w:val="32"/>
          <w:szCs w:val="32"/>
        </w:rPr>
        <w:t>dzfptax_hn@163.com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河南省税务局增值税发票管理系统（2.0版）生产环境正式接入（地址：tysl.henan.chinatax.gov.cn:8443）。</w:t>
      </w:r>
    </w:p>
    <w:p>
      <w:pPr>
        <w:adjustRightInd w:val="0"/>
        <w:snapToGrid w:val="0"/>
        <w:spacing w:line="360" w:lineRule="auto"/>
        <w:ind w:firstLine="640" w:firstLineChars="200"/>
        <w:rPr>
          <w:rFonts w:ascii="仿宋" w:hAnsi="仿宋" w:eastAsia="仿宋" w:cs="Times New Roman"/>
          <w:kern w:val="0"/>
          <w:sz w:val="32"/>
          <w:szCs w:val="32"/>
        </w:rPr>
      </w:pP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"http://henan.chinatax.gov.cn/xz/uploadfile/003/file/1581922929373.docx"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国家税务总局河南省税务局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widowControl/>
        <w:jc w:val="left"/>
        <w:rPr>
          <w:rStyle w:val="215"/>
          <w:rFonts w:ascii="仿宋" w:hAnsi="仿宋" w:eastAsia="仿宋"/>
          <w:color w:val="auto"/>
          <w:sz w:val="32"/>
          <w:szCs w:val="32"/>
          <w:u w:val="none"/>
        </w:rPr>
      </w:pPr>
      <w:r>
        <w:rPr>
          <w:rStyle w:val="215"/>
          <w:rFonts w:ascii="仿宋" w:hAnsi="仿宋" w:eastAsia="仿宋"/>
          <w:color w:val="auto"/>
          <w:sz w:val="32"/>
          <w:szCs w:val="32"/>
          <w:u w:val="none"/>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41" w:name="_Toc34141471"/>
      <w:r>
        <w:rPr>
          <w:rFonts w:hint="eastAsia" w:ascii="仿宋" w:hAnsi="仿宋" w:eastAsia="仿宋"/>
          <w:color w:val="000000" w:themeColor="text1"/>
          <w:sz w:val="32"/>
          <w:szCs w:val="32"/>
        </w:rPr>
        <w:t>（十七）湖北省</w:t>
      </w:r>
      <w:bookmarkEnd w:id="141"/>
    </w:p>
    <w:p>
      <w:pPr>
        <w:pStyle w:val="5"/>
        <w:adjustRightInd w:val="0"/>
        <w:snapToGrid w:val="0"/>
        <w:spacing w:before="0" w:after="0" w:line="360" w:lineRule="auto"/>
        <w:jc w:val="center"/>
        <w:rPr>
          <w:rFonts w:ascii="仿宋" w:hAnsi="仿宋" w:eastAsia="仿宋"/>
          <w:b w:val="0"/>
          <w:bCs w:val="0"/>
        </w:rPr>
      </w:pPr>
      <w:bookmarkStart w:id="142" w:name="_Toc34141472"/>
      <w:r>
        <w:rPr>
          <w:rFonts w:hint="eastAsia" w:ascii="仿宋" w:hAnsi="仿宋" w:eastAsia="仿宋"/>
          <w:bCs w:val="0"/>
        </w:rPr>
        <w:t>湖北省税务局支持新型冠状病毒感染肺炎疫情防控有关货物劳务税涉税业务问答</w:t>
      </w:r>
      <w:bookmarkEnd w:id="142"/>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进一步支持做好新型冠状病毒感染肺炎疫情防控工作，积极发挥货物劳务税在疫情防控中的税收调控作用，根据国家最新政策和纳税人关注的税收热点，我们以问答形式编写了货物劳务税支持疫情防控相关涉税业务问题专辑，为您提供更加精准、便捷、优质的货物劳务税政策服务。让我们与您携手，共克时艰，共渡难关，坚决打赢疫情防控的人民战争、总体战、阻击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一、增值税政策业务问题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1.我公司想申请享受《财政部 税务总局关于支持新型冠状病毒感染的肺炎疫情防控有关税收政策的公告》（财政部税务总局2020年第8号公告）的留抵退税政策，需要符合哪些条件？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答：财政部、税务总局2020年第8号公告规定的增值税增量留抵退税政策，不再区分行业，对企业的纳税信用级别未做要求，不受《财政部 税务总局关于明确国有农用地出租等增值税政策的公告》（财政部税务总局公告2020年第2号）规定的留抵退税后不得享受即征即退、先征后返（退）政策的限制。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纳税人被省级及以上发展改革部门、工业和信息化部门其中之一确定为疫情防控重点保障物资生产企业的，即可向主管税务机关申请退还增量留抵税额。</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2.我公司已被省发改委确定为疫情防控重点保障物资生产企业，应如何申请享受《财政部 税务总局关于支持新型冠状病毒感染的肺炎疫情防控有关税收政策的公告》（财政部税务总局2020年第8号公告）的留抵退税政策？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你公司应在2020年2月及以后纳税申报期内，完成本期增值税纳税申报后，向主管税务机关提交《增值税期末留抵税额退税申请表》，申请退还增量留抵税额。允许退还的增量留抵税额，是指与2019年12月底相比新增加的期末留抵税额。</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3.我公司是一家商贸企业，在2月份将外购的一批N95口罩无偿捐赠给定点收治医院用于疫情防控，请问是否需要缴纳增值税？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税务总局关于支持新型冠状病毒感染的肺炎疫情防控有关捐赠税收政策的公告》（财政部 税务总局2020年第9号公告）规定，自2020年1月1日起，单位和个体工商户将自产、委托加工或购买的货物，直接向承担疫情防治任务的医院无偿捐赠，用于应对新冠肺炎疫情的，免征增值税。因此，你公司在疫情防控期间将外购货物直接无偿捐赠给承担疫情防治任务的医院，用于应对新冠肺炎疫情的，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4.在疫情防控期间，我单位购买的生产经营过程中使用的口罩、消毒水、防护服等疫情防控物资，发给员工工作使用，请问这些进项可以抵扣吗？</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你单位购买的生产经营过程中使用的防护物品，如消毒用品、口罩等，不属于《中华人民共和国增值税暂行条例》第十条规定的“用于集体福利或者个人消费的购进货物”，按照现行政策规定，取得增值税合法有效扣税凭证的，对应的增值税进项税额可以抵扣。</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5.我公司位于武汉市，在“封城”前购进的原材料因“封城”停业期间变质损坏的，请问进项税额是否需要转出？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答：因新冠肺炎疫情造成购进原材料变质损坏的，属于因不可抗力导致纳税人正常生产经营活动发生损失，不属于非正常损失，对应的增值税进项税额可以抵扣。</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6.我公司主要经营商铺出租业务，鉴于疫情严峻，部分商铺的商户无法正常经营，为响应国家号召，决定减免部分商户的租金，请问增值税业务如何处理？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答：如果你公司与租户书面约定减收租金，该行为不属于“纳税人发生应税行为价格明显偏低或者偏高且不具有合理商业目的的”情形，你公司可按照实际收到金额计算缴纳增值税。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如果你公司与租户书面约定免收租金，根据《国家税务总局关于土地价款扣除时间等增值税征管问题的公告》（国家税务总局公告2016年第86号）规定，纳税人出租不动产，租赁合同中约定免租期的，不属于视同销售服务，不缴纳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7.我公司积极响应政府号召，提前召回员工并积极联系离职员工复工，加班加点生产疫情防控物资，为此政府给我单位发放了一笔开工补贴，请问这笔补贴是否缴纳增值税？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国家税务总局关于取消增值税扣税凭证认证确认期限等增值税征管问题的公告》（国家税务总局2019年45号公告）规定，纳税人取得的财政补贴收入，与其销售货物、劳务、服务、无形资产、不动产的收入或者数量直接挂钩的，应按规定计算缴纳增值税。纳税人取得的其他情形的财政补贴收入，不属于增值税应税收入，不征收增值税。因此，你公司取得的开工补贴等其他情形的财政补贴收入，不征收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8.我公司参与了疫情防控重点保障物资的生产、运输等保障工作，请问在增值税方面有哪些优惠政策？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税务总局关于支持新型冠状病毒感染的肺炎疫情防控有关税收政策的公告》（财政部 税务总局2020年第8号公告）规定，自2020年1月1日起，疫情防控重点保障物资生产企业可以按月向主管税务机关申请全额退还增值税增量留抵税额；对纳税人运输疫情防控重点保障物资取得的收入，免征增值税；对纳税人提供公共交通运输服务、生活服务，以及为居民提供必需生活物资快递收派服务取得的收入，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9.我单位是一家出租车公司，在疫情防控期间业务大幅下滑，请问在增值税方面是否有优惠政策？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税务总局关于支持新型冠状病毒感染的肺炎疫情防控有关税收政策的公告》（财政部 税务总局公告2020年第8号）规定，自2020年1月1日起，对纳税人提供公共交通运输服务取得的收入，免征增值税。同时，《营业税改征增值税试点有关事项的规定》（财税〔2016〕36号附件2）第一条第（六）项规定：公共交通运输服务，包括轮客渡、公交客运、地铁、城市轻轨、出租车、长途客运、班车。因此，自1月1日起，你单位提供出租车等公共交通运输服务取得的收入，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10.我公司是一家旅游企业，疫情防控期间业务严重下滑，请问在增值税方面是否有优惠政策？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税务总局关于支持新型冠状病毒感染的肺炎疫情防控有关税收政策的公告》（财政部 税务总局公告2020年第8号）规定，自2020年1月1日起，对纳税人提供生活服务取得的收入，免征增值税。同时，《销售服务、无形资产、不动产注释》（财税〔2016〕36号印发）规定，生活服务，是指为满足城乡居民日常生活需求提供的各类服务活动。包括文化体育服务、教育医疗服务、旅游娱乐服务、餐饮住宿服务、居民日常服务和其他生活服务。因此，自1月1日起，你公司提供旅游等生活服务取得的收入，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11.我单位是一家快递公司，在疫情防控期间继续为居民个人快递货物提供收派服务，请问在增值税方面是否有优惠政策？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税务总局关于支持新型冠状病毒感染的肺炎疫情防控有关税收政策的公告》(财政部 税务总局公告2020年第8号)规定，对纳税人为居民提供必需生活物资快递收派服务取得的收入，免征增值税。为居民提供必需生活物资快递收派服务，是指为居民个人快递货物提供的收派服务。因此，自1月1日起，你单位为居民个人快递货物提供的收派服务取得的收入，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12.我公司主要从事非学历教育培训，受疫情的影响，目前主要提供线上培训服务，请问在增值税方面是否有优惠政策？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税务总局关于支持新型冠状病毒感染的肺炎疫情防控有关税收政策的公告》（财政部 税务总局公告2020年第8号）规定，自2020年1月1日起，对纳税人提供生活服务取得的收入，免征增值税。同时，根据《销售服务、无形资产、不动产注释》（财税〔2016〕36号印发）规定，各类培训、演讲、讲座属于生活服务中的非学历教育服务。因此，自1月1日起，你公司提供线上培训等非学历教育服务取得的收入，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13.我单位是一家餐饮企业，疫情防控期间为在一线工作的医护人员提供免费餐食，请问是否需要缴纳增值税？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税〔2016〕36号文件规定，单位或个体工商户向其他单位或者个人无偿提供服务,用于公益事业或者以社会公众为对象的，无需视同销售，不征收增值税。这里所称的“服务”，根据《销售服务、无形资产、不动产注释》（财税〔2016〕36号印发），是指交通运输服务、邮政服务、电信服务、建筑服务、金融服务、现代服务、生活服务。因此，你单位在疫情防控期间向医务人员免费提供餐食，属于无偿提供生活服务（餐饮服务）用于公益事业或者以社会公众为对象，不征收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14.我是一家销售蔬菜的个体工商户，请问在增值税方面有哪些优惠政策？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国家税务总局关于免征蔬菜流通环节增值税有关问题的通知》（财税〔2011〕137号）规定，自2012年1月1日起，对从事蔬菜批发、零售的纳税人销售的蔬菜免征增值税。同时，《财政部国家税务总局关于免征部分鲜活肉蛋产品流通环节增值税政策的通知》(财税〔2012〕75号）规定，自2012年10月1日起，对从事农产品批发、零售的纳税人销售的部分鲜活肉蛋产品免征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15.我公司是一家抗疫药品的生产企业，目前已研发出一种创新药并即将进入临床试验阶段，请问后续如将该创新药对患者免费使用，增值税方面应如何进行处理？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国家税务总局关于创新药后续免费使用有关增值税政策的通知》（财税〔2015〕4号）规定，药品生产企业销售自产创新药的销售额，为向购买方收取的全部价款和价外费用，其提供给患者后续免费使用的相同创新药，不属于增值税视同销售范围。上述创新药是指经国家食品药品监督管理部门批准注册、获批前未曾在中国境内外上市销售，通过合成或者半合成方法制得的原料药及其制剂。</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16.我们是一家公立医院，请问除了医疗服务免征增值税外，还有哪些增值税优惠政策？</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根据现行政策规定，除医疗机构提供的医疗服务免征增值税外。对非营利性医疗机构自产自用的制剂，免征增值税。对营利性医疗机构取得的收入，直接用于改善医疗卫生条件的，自其取得执业登记之日起，3年内对其自产自用的制剂免征增值税。对血站供应给医疗机构的临床用血免征增值税。对卫生防疫站调拨或发放的由政府财政负担的免费防疫苗不征收增值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17.纳税人在疫情期间取得的收入，按照政策可以免征增值税的，需要办理什么手续？</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答：享受免征增值税优惠的，无需办理备案或审批流程。纳税人直接填写《增值税纳税申报表》申报享受即可，相关证明材料应留存备查。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二、增值税纳税申报和发票业务问题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18.湖北省2月的增值税申报期延长到3月6日，但税控设备的锁死时间还是2月17日。我公司要求2月19日上班，来不及抄税会导致税控设备锁死，需要去税务局解锁，不利于疫情防控，怎么办？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答：目前，国家税务总局已通过软件升级和调整系统参数解决了该问题，纳税人可以按不同时间进行如下处理：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（1）2月17日前抄税的，纳税人开票电脑连接互联网，插入税控设备（金税盘、税控盘、税务Ukey），进入税控开票软件，等待软件自动上传汇总，直到跳出“征期自动上传汇总成功”提示，即完成抄税工作。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2月17日后抄税的，纳税人应在开票电脑连接互联网，插入税控设备（金税盘、税控盘、税务Ukey）,进入税控开票软件，检查开票软件版本是否为最新版V2.0.34_ZS_20191226。如未升级到最新版本，可开机等待系统自动升级，升级完成后，点击【数据管理】→【数据处理】→【汇总上传】，选择发票种类，先点击【上报汇总】，待上报汇总提示成功后，进行【清卡】（金税盘）或【反写】（税控盘），完成抄税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19.按照税务局规定，纳税人需要办理增值税申报且申报比对相符后才能申领发票，因为疫情严重，我公司本月报表产出较晚，但现在需要申领发票，怎么办？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答：疫情防控期间，湖北省纳税人只需抄税完成就可办理网领发票并选择邮寄送达。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 xml:space="preserve"> 3月6日前纳税人暂未办理纳税申报的，只要完成抄税，可登录湖北省电子税务局进行网上申领并选择邮寄送达发票。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20.按照税务局规定,纳税人的税控设备需要申报比对相符后才能解锁，疫情期间，各种问题频发，能否在本征期内取消增值税申报比对？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答：疫情防控期间，湖北省税务局调整系统参数，纳税人只需抄税完成后，税控设备即可解锁，税控设备解锁后，利用税控设备开展发票申领和开具发票事项不受影响。</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增值税申报比对会继续进行，纳税人通过电子税务局办理增值税申报时，比对不符项目会自动反馈，纳税人可根据系统提示，办理变更申报。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21.疫情期间，主管税务机关对纳税人需要实地查验的发票事项如何办理？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答：疫情期间，主管税务机关对于需要实地查验的发票事项，全部调整为案头资料审核，不再进行实地查验，疫情结束后适时进行实地查验。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22.我是一家企业的会计，现在湖北省增值税申报期延长到3月6日，我想请问综合服务平台增值税专用发票的选择确认期限是否进行调整？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湖北省增值税申报期延长到3月6日，因系统原因，增值税发票综合服务平台的增值税扣税凭证用途确认时间不能同步调整到3月6日，请广大纳税人见谅。但湖北省税务局通过参数调整，将增值税扣税凭证用途确认时间（进项税额抵扣所属期为2020年1月份）延至2月底。</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23.我是一家企业的会计，现在受到疫情影响，不能到单位上班，单位有几张专用发票，就要超过360天了，怎么办？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您不用担心，自2020年3月1日起，增值税一般纳税人取得2017年1月1日及以后开具的增值税专用发票、海关进口增值税专用缴款书、机动车销售统一发票、收费公路通行费增值税电子普通发票取消360日认证确认、稽核比对、申报抵扣期限限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24.我单位按照财政国家税务总局8号公告和9号公告有关规定，可以享受免征增值税政策，但我公司已开具增值税专用发票，怎么办？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国家税务总局关于支持新型冠状病毒感染的肺炎疫情防控有关税收征收管理事项的公告》（国家税务总局公告2020年第4号）规定，纳税人按照8号公告和9号公告有关规定适用免征增值税政策的，不得开具增值税专用发票；已开具增值税专用发票的，应当开具对应红字发票或者作废原发票，再按规定适用免征增值税政策并开具普通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25.我单位可以享受增值税留抵退税优惠，请问疫情期间如何办理退税业务？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我局正加速开发电子税务局留抵退税业务模块，该模块未上线前，你单位可填写纸质《退（抵）税申请表》，加盖公章并扫描成电子件后，通过微信或电子邮件方式传递给税源管理部门，由税源管理部门转交办税服务厅办理，无需前往办税服务厅现场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26.我单位属于增值税总分支机构企业，本月通过湖北省电子税务局办理增值税纳税申报失败，疫情期间不方便去办税服务厅办理，该怎么办？</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答：你单位可将打印纸质增值税申报表，加盖公章后，通过微信或电子邮件方式传递给税源管理部门，由税源管理部门转交办税服务厅办理，无需前往办税服务厅现场办理。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三、消费税政策业务问题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27.我公司将应税消费品无偿捐赠给承担疫情防治任务的医院，用于新型冠状病毒防治，需要申报缴纳消费税吗？</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答：《财政部 税务总局关于支持新型冠状病毒感染的肺炎疫情防控有关捐赠税收政策的公告》（财政部 税务总局公告2020年第9号）规定，单位和个体工商户将自产、委托加工或购买的货物，通过公益性社会组织和县级以上人民政府及其部门等国家机关，或者直接向承担疫情防治任务的医院，无偿捐赠用于应对新型冠状病毒感染的肺炎疫情的，免征消费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四、车购税政策业务问题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28.自然人可以通过哪些方式办理车购税业务？有哪些业务可以在网上办理？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答：如果您是车购税的自然人纳税人，可以通过“湖北税务”微信公众号、湖北省电子税务局或者自助办税机三种方式在网上办理车购税业务，不必前往办税服务厅。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可以网上办理的业务包括：（1）省内购置的新车一般申报业务；（2）省内购置的新能源汽车免税业务；（3）省内购置半挂车减半征收业务。省内购置的车辆是指，由湖北省内机动车经销商开具机动车销售统一发票的车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29.非自然人纳税人可以在网上办理车购税业务吗？哪些业务可以网上办理？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答：如果您是非自然人纳税人，您可以通过湖北省电子税务局在网上办理车购税业务，办理业务的种类包括：</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（1）省内新车一般申报业务；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（2）省内新能源汽车免税业务；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（3）省内半挂车减半征收业务。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30.纳税人因受新型冠状病毒疫情影响，未能及时办理车购税申报，会加收滞纳金吗？</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答：由于受新型冠状病毒疫情影响，未能及时申报车购税的纳税人，税务机关在计算纳税期限时会相应扣除受影响的时间。扣除受影响的时间后，未超过《中华人民共和国车辆购置税法》规定纳税期限的，不加收滞纳金。</w:t>
      </w:r>
    </w:p>
    <w:p>
      <w:pPr>
        <w:adjustRightInd w:val="0"/>
        <w:snapToGrid w:val="0"/>
        <w:spacing w:line="360" w:lineRule="auto"/>
        <w:ind w:firstLine="640" w:firstLineChars="200"/>
        <w:jc w:val="left"/>
        <w:rPr>
          <w:rFonts w:ascii="仿宋" w:hAnsi="仿宋" w:eastAsia="仿宋" w:cs="Times New Roman"/>
          <w:kern w:val="0"/>
          <w:sz w:val="32"/>
          <w:szCs w:val="32"/>
        </w:rPr>
      </w:pPr>
    </w:p>
    <w:p>
      <w:pPr>
        <w:adjustRightInd w:val="0"/>
        <w:snapToGrid w:val="0"/>
        <w:spacing w:line="360" w:lineRule="auto"/>
        <w:ind w:firstLine="643" w:firstLineChars="200"/>
        <w:rPr>
          <w:rStyle w:val="222"/>
          <w:rFonts w:ascii="仿宋" w:hAnsi="仿宋" w:eastAsia="仿宋"/>
          <w:b/>
          <w:bCs/>
          <w:color w:val="auto"/>
          <w:sz w:val="32"/>
          <w:szCs w:val="32"/>
          <w:u w:val="none"/>
        </w:rPr>
      </w:pPr>
      <w:r>
        <w:rPr>
          <w:rStyle w:val="222"/>
          <w:rFonts w:ascii="仿宋" w:hAnsi="仿宋" w:eastAsia="仿宋"/>
          <w:b/>
          <w:bCs/>
          <w:color w:val="auto"/>
          <w:sz w:val="32"/>
          <w:szCs w:val="32"/>
          <w:u w:val="none"/>
        </w:rPr>
        <w:br w:type="page"/>
      </w:r>
    </w:p>
    <w:p>
      <w:pPr>
        <w:pStyle w:val="263"/>
        <w:adjustRightInd w:val="0"/>
        <w:snapToGrid w:val="0"/>
        <w:spacing w:after="0" w:line="360" w:lineRule="auto"/>
        <w:rPr>
          <w:rFonts w:ascii="仿宋" w:hAnsi="仿宋" w:eastAsia="仿宋"/>
          <w:color w:val="000000" w:themeColor="text1"/>
          <w:sz w:val="32"/>
          <w:szCs w:val="32"/>
        </w:rPr>
      </w:pPr>
      <w:bookmarkStart w:id="143" w:name="_Toc34141473"/>
      <w:r>
        <w:rPr>
          <w:rFonts w:hint="eastAsia" w:ascii="仿宋" w:hAnsi="仿宋" w:eastAsia="仿宋"/>
          <w:color w:val="000000" w:themeColor="text1"/>
          <w:sz w:val="32"/>
          <w:szCs w:val="32"/>
        </w:rPr>
        <w:t>（十八）湖南省</w:t>
      </w:r>
      <w:bookmarkEnd w:id="143"/>
    </w:p>
    <w:p>
      <w:pPr>
        <w:pStyle w:val="5"/>
        <w:adjustRightInd w:val="0"/>
        <w:snapToGrid w:val="0"/>
        <w:spacing w:before="0" w:after="0" w:line="360" w:lineRule="auto"/>
        <w:jc w:val="center"/>
        <w:rPr>
          <w:rFonts w:ascii="仿宋" w:hAnsi="仿宋" w:eastAsia="仿宋" w:cs="Times New Roman"/>
          <w:kern w:val="0"/>
        </w:rPr>
      </w:pPr>
      <w:bookmarkStart w:id="144" w:name="_Toc34141474"/>
      <w:bookmarkStart w:id="145" w:name="_Toc33451060"/>
      <w:r>
        <w:rPr>
          <w:rFonts w:hint="eastAsia" w:ascii="仿宋" w:hAnsi="仿宋" w:eastAsia="仿宋" w:cs="Times New Roman"/>
          <w:kern w:val="0"/>
        </w:rPr>
        <w:t>国家税务总局湖南省税务局关于电子发票服务平台接入验证工作的公告</w:t>
      </w:r>
      <w:bookmarkEnd w:id="144"/>
      <w:bookmarkEnd w:id="145"/>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w:t>
      </w:r>
      <w:r>
        <w:rPr>
          <w:rFonts w:ascii="Calibri" w:hAnsi="Calibri" w:eastAsia="仿宋" w:cs="Calibri"/>
          <w:kern w:val="0"/>
          <w:sz w:val="32"/>
          <w:szCs w:val="32"/>
        </w:rPr>
        <w:t> </w:t>
      </w:r>
      <w:r>
        <w:rPr>
          <w:rFonts w:hint="eastAsia" w:ascii="仿宋" w:hAnsi="仿宋" w:eastAsia="仿宋" w:cs="Times New Roman"/>
          <w:kern w:val="0"/>
          <w:sz w:val="32"/>
          <w:szCs w:val="32"/>
        </w:rPr>
        <w:t>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地址：https://fpdk.hunan.chinatax.gov.cn:8069/）。</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"http://hunan.chinatax.gov.cn/files/publicfile/ewebeditor/20200217094334564.doc"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国家税务总局湖南省税务局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adjustRightInd w:val="0"/>
        <w:snapToGrid w:val="0"/>
        <w:spacing w:line="360" w:lineRule="auto"/>
        <w:ind w:firstLine="640" w:firstLineChars="200"/>
        <w:rPr>
          <w:rStyle w:val="215"/>
          <w:rFonts w:ascii="仿宋" w:hAnsi="仿宋" w:eastAsia="仿宋"/>
          <w:color w:val="auto"/>
          <w:sz w:val="32"/>
          <w:szCs w:val="32"/>
          <w:u w:val="none"/>
        </w:rPr>
      </w:pPr>
    </w:p>
    <w:p>
      <w:pPr>
        <w:pStyle w:val="5"/>
        <w:adjustRightInd w:val="0"/>
        <w:snapToGrid w:val="0"/>
        <w:spacing w:before="0" w:after="0" w:line="360" w:lineRule="auto"/>
        <w:jc w:val="center"/>
        <w:rPr>
          <w:rFonts w:ascii="仿宋" w:hAnsi="仿宋" w:eastAsia="仿宋" w:cs="Times New Roman"/>
          <w:kern w:val="0"/>
        </w:rPr>
      </w:pPr>
      <w:bookmarkStart w:id="146" w:name="_Toc34141475"/>
      <w:bookmarkStart w:id="147" w:name="_Toc33451061"/>
      <w:r>
        <w:rPr>
          <w:rFonts w:hint="eastAsia" w:ascii="仿宋" w:hAnsi="仿宋" w:eastAsia="仿宋" w:cs="Times New Roman"/>
          <w:kern w:val="0"/>
        </w:rPr>
        <w:t>国家税务总局湖南省税务局疫情防控期间涉税需求调查</w:t>
      </w:r>
      <w:bookmarkEnd w:id="146"/>
      <w:bookmarkEnd w:id="147"/>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全面贯彻落实党中央国务院以及国家税务总局、省委、省政府关于做好疫情防控工作的决策部署，充分发挥税务部门助力疫情防控和经济发展的作用，国家税务总局湖南省税务局现开展防控新型冠状病毒肺炎疫情期间涉税需求调查，感谢您的积极参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调查时间：即日起至2月29日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参与方式：请扫描二维码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drawing>
          <wp:anchor distT="0" distB="0" distL="114300" distR="114300" simplePos="0" relativeHeight="251649024" behindDoc="0" locked="0" layoutInCell="1" allowOverlap="1">
            <wp:simplePos x="0" y="0"/>
            <wp:positionH relativeFrom="column">
              <wp:posOffset>1913890</wp:posOffset>
            </wp:positionH>
            <wp:positionV relativeFrom="paragraph">
              <wp:posOffset>414020</wp:posOffset>
            </wp:positionV>
            <wp:extent cx="1209675" cy="1188085"/>
            <wp:effectExtent l="0" t="0" r="0" b="0"/>
            <wp:wrapTopAndBottom/>
            <wp:docPr id="1" name="图片 29" descr="1582464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1582464376(1)"/>
                    <pic:cNvPicPr>
                      <a:picLocks noChangeAspect="1"/>
                    </pic:cNvPicPr>
                  </pic:nvPicPr>
                  <pic:blipFill>
                    <a:blip r:embed="rId12"/>
                    <a:stretch>
                      <a:fillRect/>
                    </a:stretch>
                  </pic:blipFill>
                  <pic:spPr>
                    <a:xfrm>
                      <a:off x="0" y="0"/>
                      <a:ext cx="1209675" cy="1188085"/>
                    </a:xfrm>
                    <a:prstGeom prst="rect">
                      <a:avLst/>
                    </a:prstGeom>
                  </pic:spPr>
                </pic:pic>
              </a:graphicData>
            </a:graphic>
          </wp:anchor>
        </w:drawing>
      </w:r>
    </w:p>
    <w:p>
      <w:pPr>
        <w:adjustRightInd w:val="0"/>
        <w:snapToGrid w:val="0"/>
        <w:spacing w:line="360" w:lineRule="auto"/>
        <w:ind w:firstLine="640" w:firstLineChars="200"/>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48" w:name="_Toc34141476"/>
      <w:bookmarkStart w:id="149" w:name="_Toc33451062"/>
      <w:r>
        <w:rPr>
          <w:rFonts w:hint="eastAsia" w:ascii="仿宋" w:hAnsi="仿宋" w:eastAsia="仿宋" w:cs="Times New Roman"/>
          <w:kern w:val="0"/>
        </w:rPr>
        <w:t>湖南省医疗保障局 国家税务总局湖南省税务局 湖南省财政厅 关于城乡居民基本医疗保险费征收有关事项的通知</w:t>
      </w:r>
      <w:bookmarkEnd w:id="148"/>
      <w:bookmarkEnd w:id="149"/>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各市州、县市区医疗保障局，国家税务总局湖南省各市州、县市区税务局，各市州、县市区财政局：</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为确保广大缴费人、办税人员、代收人员在新型冠状病毒肺炎疫情防控期间的健康安全，防止新冠肺炎交叉感染风险，现将城乡居民基本医疗保险费征收有关事项通知如下：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一、延长城乡居民基本医疗保险费集中缴费期。鉴于目前疫情防控的严峻形势，我省 2020</w:t>
      </w:r>
      <w:r>
        <w:rPr>
          <w:rFonts w:ascii="Calibri" w:hAnsi="Calibri" w:eastAsia="仿宋" w:cs="Calibri"/>
          <w:kern w:val="0"/>
          <w:sz w:val="32"/>
          <w:szCs w:val="32"/>
        </w:rPr>
        <w:t> </w:t>
      </w:r>
      <w:r>
        <w:rPr>
          <w:rFonts w:hint="eastAsia" w:ascii="仿宋" w:hAnsi="仿宋" w:eastAsia="仿宋" w:cs="Times New Roman"/>
          <w:kern w:val="0"/>
          <w:sz w:val="32"/>
          <w:szCs w:val="32"/>
        </w:rPr>
        <w:t>年城乡居民基本医疗保险费集中缴费截止日期早于 2020</w:t>
      </w:r>
      <w:r>
        <w:rPr>
          <w:rFonts w:ascii="Calibri" w:hAnsi="Calibri" w:eastAsia="仿宋" w:cs="Calibri"/>
          <w:kern w:val="0"/>
          <w:sz w:val="32"/>
          <w:szCs w:val="32"/>
        </w:rPr>
        <w:t> </w:t>
      </w:r>
      <w:r>
        <w:rPr>
          <w:rFonts w:hint="eastAsia" w:ascii="仿宋" w:hAnsi="仿宋" w:eastAsia="仿宋" w:cs="Times New Roman"/>
          <w:kern w:val="0"/>
          <w:sz w:val="32"/>
          <w:szCs w:val="32"/>
        </w:rPr>
        <w:t>年 3</w:t>
      </w:r>
      <w:r>
        <w:rPr>
          <w:rFonts w:ascii="Calibri" w:hAnsi="Calibri" w:eastAsia="仿宋" w:cs="Calibri"/>
          <w:kern w:val="0"/>
          <w:sz w:val="32"/>
          <w:szCs w:val="32"/>
        </w:rPr>
        <w:t> </w:t>
      </w:r>
      <w:r>
        <w:rPr>
          <w:rFonts w:hint="eastAsia" w:ascii="仿宋" w:hAnsi="仿宋" w:eastAsia="仿宋" w:cs="Times New Roman"/>
          <w:kern w:val="0"/>
          <w:sz w:val="32"/>
          <w:szCs w:val="32"/>
        </w:rPr>
        <w:t>月 31</w:t>
      </w:r>
      <w:r>
        <w:rPr>
          <w:rFonts w:ascii="Calibri" w:hAnsi="Calibri" w:eastAsia="仿宋" w:cs="Calibri"/>
          <w:kern w:val="0"/>
          <w:sz w:val="32"/>
          <w:szCs w:val="32"/>
        </w:rPr>
        <w:t> </w:t>
      </w:r>
      <w:r>
        <w:rPr>
          <w:rFonts w:hint="eastAsia" w:ascii="仿宋" w:hAnsi="仿宋" w:eastAsia="仿宋" w:cs="Times New Roman"/>
          <w:kern w:val="0"/>
          <w:sz w:val="32"/>
          <w:szCs w:val="32"/>
        </w:rPr>
        <w:t>日的统筹区，集中缴费截止日期由 2020 年 2 月 29 日统一延长至 2020 年 3 月 31 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二、鼓励缴费人通过线上缴费渠道缴费。为防止新冠肺炎交叉感染风险，疫情防控期间尽量避免集中或上门征收、银行柜面征收，鼓励缴费人通过湘税社保 APP、社保网上缴费终端、各代收银行手机银行 APP 等线上缴费渠道缴费。省税务局已对相关涉税、涉费事项“非接触式”办理途径向社会进行了提示（详见省税务局网站</w:t>
      </w:r>
      <w:r>
        <w:rPr>
          <w:rFonts w:ascii="Calibri" w:hAnsi="Calibri" w:eastAsia="仿宋" w:cs="Calibri"/>
          <w:kern w:val="0"/>
          <w:sz w:val="32"/>
          <w:szCs w:val="32"/>
        </w:rPr>
        <w:t> </w:t>
      </w:r>
      <w:r>
        <w:rPr>
          <w:rFonts w:hint="eastAsia" w:ascii="仿宋" w:hAnsi="仿宋" w:eastAsia="仿宋" w:cs="Times New Roman"/>
          <w:kern w:val="0"/>
          <w:sz w:val="32"/>
          <w:szCs w:val="32"/>
        </w:rPr>
        <w:t>http://hunan.chinatax.gov.cn/）。</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湖南省医疗保障局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国家税务总局湖南省税务局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湖南省财政厅</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2020年2月12日</w:t>
      </w:r>
    </w:p>
    <w:p>
      <w:pPr>
        <w:adjustRightInd w:val="0"/>
        <w:snapToGrid w:val="0"/>
        <w:spacing w:line="360" w:lineRule="auto"/>
        <w:ind w:firstLine="640" w:firstLineChars="200"/>
        <w:rPr>
          <w:rStyle w:val="215"/>
          <w:rFonts w:ascii="仿宋" w:hAnsi="仿宋" w:eastAsia="仿宋"/>
          <w:color w:val="auto"/>
          <w:sz w:val="32"/>
          <w:szCs w:val="32"/>
          <w:u w:val="none"/>
        </w:rPr>
      </w:pPr>
    </w:p>
    <w:p>
      <w:pPr>
        <w:widowControl/>
        <w:adjustRightInd w:val="0"/>
        <w:snapToGrid w:val="0"/>
        <w:spacing w:line="360" w:lineRule="auto"/>
        <w:ind w:firstLine="640" w:firstLineChars="200"/>
        <w:jc w:val="left"/>
        <w:rPr>
          <w:rStyle w:val="215"/>
          <w:rFonts w:ascii="仿宋" w:hAnsi="仿宋" w:eastAsia="仿宋"/>
          <w:color w:val="auto"/>
          <w:sz w:val="32"/>
          <w:szCs w:val="32"/>
          <w:u w:val="none"/>
        </w:rPr>
      </w:pPr>
      <w:r>
        <w:rPr>
          <w:rStyle w:val="215"/>
          <w:rFonts w:ascii="仿宋" w:hAnsi="仿宋" w:eastAsia="仿宋"/>
          <w:color w:val="auto"/>
          <w:sz w:val="32"/>
          <w:szCs w:val="32"/>
          <w:u w:val="none"/>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50" w:name="_Toc34141477"/>
      <w:r>
        <w:rPr>
          <w:rFonts w:hint="eastAsia" w:ascii="仿宋" w:hAnsi="仿宋" w:eastAsia="仿宋"/>
          <w:color w:val="000000" w:themeColor="text1"/>
          <w:sz w:val="32"/>
          <w:szCs w:val="32"/>
        </w:rPr>
        <w:t>（十九）广东省</w:t>
      </w:r>
      <w:bookmarkEnd w:id="150"/>
    </w:p>
    <w:p>
      <w:pPr>
        <w:pStyle w:val="5"/>
        <w:adjustRightInd w:val="0"/>
        <w:snapToGrid w:val="0"/>
        <w:spacing w:before="0" w:after="0" w:line="360" w:lineRule="auto"/>
        <w:jc w:val="center"/>
        <w:rPr>
          <w:rFonts w:ascii="仿宋" w:hAnsi="仿宋" w:eastAsia="仿宋" w:cs="Times New Roman"/>
          <w:kern w:val="0"/>
        </w:rPr>
      </w:pPr>
      <w:bookmarkStart w:id="151" w:name="_Toc34141478"/>
      <w:r>
        <w:rPr>
          <w:rFonts w:hint="eastAsia" w:ascii="仿宋" w:hAnsi="仿宋" w:eastAsia="仿宋" w:cs="Times New Roman"/>
          <w:kern w:val="0"/>
        </w:rPr>
        <w:t>国家税务总局广东省税务局关于进一步延长2020年2月份纳税申报期限有关事项的通告</w:t>
      </w:r>
      <w:r>
        <w:rPr>
          <w:rFonts w:ascii="仿宋" w:hAnsi="仿宋" w:eastAsia="仿宋"/>
          <w:bCs w:val="0"/>
          <w:color w:val="000000" w:themeColor="text1"/>
        </w:rPr>
        <w:br w:type="textWrapping"/>
      </w:r>
      <w:r>
        <w:rPr>
          <w:rFonts w:hint="eastAsia" w:ascii="仿宋" w:hAnsi="仿宋" w:eastAsia="仿宋"/>
          <w:bCs w:val="0"/>
        </w:rPr>
        <w:t>（国家税务总局广东省税务局通告2020年第6号 )</w:t>
      </w:r>
      <w:bookmarkEnd w:id="151"/>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根据《国家税务总局关于进一步延长2020年2月份纳税申报期限有关事项的通知》（税总函〔2020〕27号）要求，现将有关事项通告如下：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一、2020年2月份的纳税申报期限进一步延长至2月28日（星期五）。</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对受新冠肺炎疫情影响到2020年2月28日仍无法办理纳税申报或延期申报的纳税人，最迟在政府宣布疫情防控解除之日起10个工作日内补办延期申报手续并同时办理纳税申报。税务机关依法对其不加收税款滞纳金、不给予行政处罚、不调整纳税信用评价、不认定为非正常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特此通告。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国家税务总局广东省税务局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2020年2月19日</w:t>
      </w:r>
    </w:p>
    <w:p>
      <w:pPr>
        <w:pStyle w:val="830"/>
        <w:adjustRightInd w:val="0"/>
        <w:snapToGrid w:val="0"/>
        <w:spacing w:before="0" w:after="0" w:line="360" w:lineRule="auto"/>
        <w:jc w:val="center"/>
        <w:rPr>
          <w:rFonts w:ascii="仿宋" w:hAnsi="仿宋" w:eastAsia="仿宋" w:cs="Times New Roman"/>
          <w:bCs w:val="0"/>
          <w:kern w:val="0"/>
        </w:rPr>
      </w:pPr>
      <w:bookmarkStart w:id="152" w:name="_Toc34141517"/>
      <w:bookmarkStart w:id="153" w:name="_Toc33451116"/>
      <w:r>
        <w:rPr>
          <w:rFonts w:hint="eastAsia" w:ascii="仿宋" w:hAnsi="仿宋" w:eastAsia="仿宋" w:cs="Times New Roman"/>
          <w:bCs w:val="0"/>
          <w:kern w:val="0"/>
        </w:rPr>
        <w:t>国家税务总局深圳市税务局关于进一步延长</w:t>
      </w:r>
      <w:r>
        <w:rPr>
          <w:rFonts w:ascii="仿宋" w:hAnsi="仿宋" w:eastAsia="仿宋" w:cs="Times New Roman"/>
          <w:bCs w:val="0"/>
          <w:kern w:val="0"/>
        </w:rPr>
        <w:t>2020年2月份纳税申报期限有关事项的通告</w:t>
      </w:r>
      <w:bookmarkEnd w:id="152"/>
      <w:bookmarkEnd w:id="153"/>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根据《国家税务总局关于进一步延长</w:t>
      </w:r>
      <w:r>
        <w:rPr>
          <w:rFonts w:ascii="仿宋" w:hAnsi="仿宋" w:eastAsia="仿宋" w:cs="Times New Roman"/>
          <w:kern w:val="0"/>
          <w:sz w:val="32"/>
          <w:szCs w:val="32"/>
        </w:rPr>
        <w:t>2020年2月份纳税申报期限有关事项的通知》（税总函〔2020〕27号），现将2020年2月份纳税申报期限有关事项通告如下：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一、对按月申报的纳税人，</w:t>
      </w:r>
      <w:r>
        <w:rPr>
          <w:rFonts w:ascii="仿宋" w:hAnsi="仿宋" w:eastAsia="仿宋" w:cs="Times New Roman"/>
          <w:kern w:val="0"/>
          <w:sz w:val="32"/>
          <w:szCs w:val="32"/>
        </w:rPr>
        <w:t>2020年2月份纳税申报期限进一步延长至2月28日（星期五）。</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二、对受新冠肺炎疫情影响到</w:t>
      </w:r>
      <w:r>
        <w:rPr>
          <w:rFonts w:ascii="仿宋" w:hAnsi="仿宋" w:eastAsia="仿宋" w:cs="Times New Roman"/>
          <w:kern w:val="0"/>
          <w:sz w:val="32"/>
          <w:szCs w:val="32"/>
        </w:rPr>
        <w:t>2月28日仍无法办理纳税申报或延期申报的纳税人，最迟在政府宣布疫情防控解除之日起10个工作日内补办延期申报手续并同时办理纳税申报。税务机关依法对其不加收税款滞纳金、不给予行政处罚、不调整纳税信用评价、不认定为非正常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纳税人可通过深圳市电子税务局（“办税桌面”</w:t>
      </w:r>
      <w:r>
        <w:rPr>
          <w:rFonts w:ascii="仿宋" w:hAnsi="仿宋" w:eastAsia="仿宋" w:cs="Times New Roman"/>
          <w:kern w:val="0"/>
          <w:sz w:val="32"/>
          <w:szCs w:val="32"/>
        </w:rPr>
        <w:t>-“我要办税”-“税务行政许可”-“对纳税人延期申报的核准”）补办延期申报手续，同时填写受疫情影响的正当理由（纳税人对其真实性负责），无需另外向税务机关书面说明正当理由。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特此通告。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国家税务总局深圳市税务局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2020年2月18日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ind w:firstLine="643" w:firstLineChars="200"/>
        <w:jc w:val="center"/>
        <w:rPr>
          <w:rFonts w:ascii="仿宋" w:hAnsi="仿宋" w:eastAsia="仿宋" w:cs="Times New Roman"/>
          <w:bCs w:val="0"/>
          <w:kern w:val="0"/>
        </w:rPr>
      </w:pPr>
      <w:bookmarkStart w:id="154" w:name="_Toc34141518"/>
      <w:bookmarkStart w:id="155" w:name="_Toc33451117"/>
      <w:r>
        <w:rPr>
          <w:rFonts w:hint="eastAsia" w:ascii="仿宋" w:hAnsi="仿宋" w:eastAsia="仿宋" w:cs="Times New Roman"/>
          <w:bCs w:val="0"/>
          <w:kern w:val="0"/>
        </w:rPr>
        <w:t>国家税务总局深圳市税务局关于防疫期间实行“非接触式”税收违法行为检举的温馨提示</w:t>
      </w:r>
      <w:bookmarkEnd w:id="154"/>
      <w:bookmarkEnd w:id="155"/>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尊敬的检举人：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全面落实新型冠状病毒感染肺炎疫情联防联控措施，最大程度减少人员流动聚集，保护人民群众生命安全，根据国家税务总局积极拓展“非接触式”办税缴费事项的精神，我局各举报中心积极提倡网上检举、邮寄资料和电话检举三种“非接触式”检举途径，以减少前往检举接访室人次，降低近距离疫情传播风险。请近期有举报需要的检举人尽量通过以上三种“非接触式”途径来进行检举。感谢您对我局检举工作的支持和理解！</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1、网上检举链接：</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"https://shenzhen.chinatax.gov.cn/bswmh/inspur.hdjl.sswfxwjj.SswfxwjjCmd.cmd" </w:instrText>
      </w:r>
      <w:r>
        <w:fldChar w:fldCharType="separate"/>
      </w:r>
      <w:r>
        <w:rPr>
          <w:rStyle w:val="222"/>
          <w:rFonts w:ascii="仿宋" w:hAnsi="仿宋" w:eastAsia="仿宋" w:cs="Times New Roman"/>
          <w:color w:val="auto"/>
          <w:kern w:val="0"/>
          <w:sz w:val="32"/>
          <w:szCs w:val="32"/>
        </w:rPr>
        <w:t>https://shenzhen.chinatax.gov.cn/bswmh/inspur.hdjl.sswfxwjj.SswfxwjjCmd.cmd</w:t>
      </w:r>
      <w:r>
        <w:rPr>
          <w:rStyle w:val="222"/>
          <w:rFonts w:ascii="仿宋" w:hAnsi="仿宋" w:eastAsia="仿宋" w:cs="Times New Roman"/>
          <w:color w:val="auto"/>
          <w:kern w:val="0"/>
          <w:sz w:val="32"/>
          <w:szCs w:val="32"/>
        </w:rPr>
        <w:fldChar w:fldCharType="end"/>
      </w:r>
      <w:r>
        <w:rPr>
          <w:rFonts w:ascii="仿宋" w:hAnsi="仿宋" w:eastAsia="仿宋" w:cs="Times New Roman"/>
          <w:kern w:val="0"/>
          <w:sz w:val="32"/>
          <w:szCs w:val="32"/>
        </w:rPr>
        <w:t xml:space="preserve">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具体路径为：国家税务总局深圳市税务局官网－互动交流－税收违法行为检举</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2、国家税务总局深圳市税务局各区局和各稽查局检举电话： </w:t>
      </w:r>
    </w:p>
    <w:p>
      <w:pPr>
        <w:adjustRightInd w:val="0"/>
        <w:snapToGrid w:val="0"/>
        <w:spacing w:line="360" w:lineRule="auto"/>
        <w:ind w:firstLine="420" w:firstLineChars="200"/>
        <w:rPr>
          <w:rFonts w:ascii="仿宋" w:hAnsi="仿宋" w:eastAsia="仿宋" w:cs="Times New Roman"/>
          <w:kern w:val="0"/>
          <w:sz w:val="32"/>
          <w:szCs w:val="32"/>
        </w:rPr>
      </w:pPr>
      <w:r>
        <w:fldChar w:fldCharType="begin"/>
      </w:r>
      <w:r>
        <w:instrText xml:space="preserve"> HYPERLINK "https://shenzhen.chinatax.gov.cn/sztax/xxgk/jgzn/lxfs/common_tt.shtml" </w:instrText>
      </w:r>
      <w:r>
        <w:fldChar w:fldCharType="separate"/>
      </w:r>
      <w:r>
        <w:rPr>
          <w:rStyle w:val="222"/>
          <w:rFonts w:ascii="仿宋" w:hAnsi="仿宋" w:eastAsia="仿宋" w:cs="Times New Roman"/>
          <w:color w:val="auto"/>
          <w:kern w:val="0"/>
          <w:sz w:val="32"/>
          <w:szCs w:val="32"/>
        </w:rPr>
        <w:t>https://shenzhen.chinatax.gov.cn/sztax/xxgk/jgzn/lxfs/common_tt.shtml</w:t>
      </w:r>
      <w:r>
        <w:rPr>
          <w:rStyle w:val="222"/>
          <w:rFonts w:ascii="仿宋" w:hAnsi="仿宋" w:eastAsia="仿宋" w:cs="Times New Roman"/>
          <w:color w:val="auto"/>
          <w:kern w:val="0"/>
          <w:sz w:val="32"/>
          <w:szCs w:val="32"/>
        </w:rPr>
        <w:fldChar w:fldCharType="end"/>
      </w:r>
      <w:r>
        <w:rPr>
          <w:rFonts w:ascii="仿宋" w:hAnsi="仿宋" w:eastAsia="仿宋" w:cs="Times New Roman"/>
          <w:kern w:val="0"/>
          <w:sz w:val="32"/>
          <w:szCs w:val="32"/>
        </w:rPr>
        <w:t xml:space="preserve">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国家税务总局深圳市税务局</w:t>
      </w:r>
    </w:p>
    <w:p>
      <w:pPr>
        <w:adjustRightInd w:val="0"/>
        <w:snapToGrid w:val="0"/>
        <w:spacing w:line="360" w:lineRule="auto"/>
        <w:ind w:firstLine="640" w:firstLineChars="200"/>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56" w:name="_Toc34141519"/>
      <w:bookmarkStart w:id="157" w:name="_Toc33451118"/>
      <w:r>
        <w:rPr>
          <w:rFonts w:hint="eastAsia" w:ascii="仿宋" w:hAnsi="仿宋" w:eastAsia="仿宋" w:cs="Times New Roman"/>
          <w:bCs w:val="0"/>
          <w:kern w:val="0"/>
        </w:rPr>
        <w:t>国家税务总局深圳市税务局关于电子发票服务平台接入验证工作的公告</w:t>
      </w:r>
      <w:bookmarkEnd w:id="156"/>
      <w:bookmarkEnd w:id="157"/>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.准备测试用签章服务器。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（七）税务机关对上报资料进行验证，向电子发票服务平台厂商反馈验证情况，并做好记录。验证通过的，即可通过国家税务总局深圳市税务局增值税发票管理系统（</w:t>
      </w:r>
      <w:r>
        <w:rPr>
          <w:rFonts w:ascii="仿宋" w:hAnsi="仿宋" w:eastAsia="仿宋" w:cs="Times New Roman"/>
          <w:kern w:val="0"/>
          <w:sz w:val="32"/>
          <w:szCs w:val="32"/>
        </w:rPr>
        <w:t>2.0版）生产环境正式接入（地址：fp.shenzhen.chinatax.gov.cn:8387）。</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"https://shenzhen.chinatax.gov.cn/sztax/xxgk/tzgg/202002/08accc0a672e4d08a3d01fcf4bdcbae3/files/d49da594953f438fbb9c41b6247b00b1.docx"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r>
        <w:rPr>
          <w:rFonts w:ascii="仿宋" w:hAnsi="仿宋" w:eastAsia="仿宋" w:cs="Times New Roman"/>
          <w:kern w:val="0"/>
          <w:sz w:val="32"/>
          <w:szCs w:val="32"/>
        </w:rPr>
        <w:t> </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国家税务总局深圳市税务局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2020年2月17日</w:t>
      </w:r>
      <w:r>
        <w:rPr>
          <w:rFonts w:hint="eastAsia" w:ascii="仿宋" w:hAnsi="仿宋" w:eastAsia="仿宋" w:cs="Times New Roman"/>
          <w:kern w:val="0"/>
          <w:sz w:val="32"/>
          <w:szCs w:val="32"/>
        </w:rPr>
        <w:t>　</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ind w:firstLine="643" w:firstLineChars="200"/>
        <w:jc w:val="center"/>
        <w:rPr>
          <w:rFonts w:ascii="仿宋" w:hAnsi="仿宋" w:eastAsia="仿宋" w:cs="Times New Roman"/>
          <w:bCs w:val="0"/>
          <w:kern w:val="0"/>
        </w:rPr>
      </w:pPr>
      <w:bookmarkStart w:id="158" w:name="_Toc34141520"/>
      <w:bookmarkStart w:id="159" w:name="_Toc33451119"/>
      <w:r>
        <w:rPr>
          <w:rFonts w:hint="eastAsia" w:ascii="仿宋" w:hAnsi="仿宋" w:eastAsia="仿宋" w:cs="Times New Roman"/>
          <w:bCs w:val="0"/>
          <w:kern w:val="0"/>
        </w:rPr>
        <w:t>国家税务总局深圳市税务局关于发布疫情期间“非接触式”线上线下融合办税清单的通告</w:t>
      </w:r>
      <w:bookmarkEnd w:id="158"/>
      <w:bookmarkEnd w:id="159"/>
    </w:p>
    <w:p>
      <w:pPr>
        <w:widowControl/>
        <w:adjustRightInd w:val="0"/>
        <w:snapToGrid w:val="0"/>
        <w:spacing w:line="360" w:lineRule="auto"/>
        <w:jc w:val="left"/>
        <w:rPr>
          <w:rFonts w:ascii="仿宋" w:hAnsi="仿宋" w:eastAsia="仿宋" w:cs="宋体"/>
          <w:kern w:val="0"/>
          <w:sz w:val="32"/>
          <w:szCs w:val="32"/>
        </w:rPr>
      </w:pPr>
      <w:r>
        <w:rPr>
          <w:rFonts w:ascii="仿宋" w:hAnsi="仿宋" w:eastAsia="仿宋" w:cs="宋体"/>
          <w:kern w:val="0"/>
          <w:sz w:val="32"/>
          <w:szCs w:val="32"/>
        </w:rPr>
        <w:t>尊敬的纳税人：</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为深入贯彻习近平总书记关于新冠肺炎疫情防控的一系列重要指示批示精神，全面落实党中央、国务院部署，国家税务总局深圳市税务局积极部署开展“非接触式”办税服务工作，充分发挥电子税务局“非接触式”办税主渠道作用，为纳税人提供优质便捷的网上办税服务，尽可能减少“面对面”接触办税，切实保障公众健康安全。现将疫情期间有关事项通告如下：</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国家税务总局深圳市税务局梳理了疫情期间“非接触式”线上线下融合办税清单共9项，详见下表。</w:t>
      </w:r>
    </w:p>
    <w:p>
      <w:pPr>
        <w:widowControl/>
        <w:adjustRightInd w:val="0"/>
        <w:snapToGrid w:val="0"/>
        <w:spacing w:line="360" w:lineRule="auto"/>
        <w:jc w:val="center"/>
        <w:rPr>
          <w:rFonts w:ascii="仿宋" w:hAnsi="仿宋" w:eastAsia="仿宋" w:cs="宋体"/>
          <w:kern w:val="0"/>
          <w:sz w:val="32"/>
          <w:szCs w:val="32"/>
        </w:rPr>
      </w:pPr>
      <w:r>
        <w:rPr>
          <w:rFonts w:ascii="仿宋" w:hAnsi="仿宋" w:eastAsia="仿宋" w:cs="宋体"/>
          <w:b/>
          <w:bCs/>
          <w:kern w:val="0"/>
          <w:sz w:val="32"/>
          <w:szCs w:val="32"/>
        </w:rPr>
        <w:t>深圳市税务局疫情期间“非接触式”线上线下融合办税清单</w:t>
      </w:r>
    </w:p>
    <w:tbl>
      <w:tblPr>
        <w:tblStyle w:val="88"/>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720"/>
        <w:gridCol w:w="5265"/>
        <w:gridCol w:w="166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序号</w:t>
            </w:r>
          </w:p>
        </w:tc>
        <w:tc>
          <w:tcPr>
            <w:tcW w:w="5265"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税务事项名称</w:t>
            </w:r>
          </w:p>
        </w:tc>
        <w:tc>
          <w:tcPr>
            <w:tcW w:w="1665"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备注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w:t>
            </w:r>
          </w:p>
        </w:tc>
        <w:tc>
          <w:tcPr>
            <w:tcW w:w="5265" w:type="dxa"/>
            <w:tcBorders>
              <w:top w:val="outset" w:color="000000" w:sz="6" w:space="0"/>
              <w:left w:val="outset" w:color="000000" w:sz="6" w:space="0"/>
              <w:bottom w:val="outset" w:color="000000" w:sz="6" w:space="0"/>
              <w:right w:val="outset" w:color="000000" w:sz="6" w:space="0"/>
            </w:tcBorders>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发票领用</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w:t>
            </w:r>
          </w:p>
        </w:tc>
        <w:tc>
          <w:tcPr>
            <w:tcW w:w="5265" w:type="dxa"/>
            <w:tcBorders>
              <w:top w:val="outset" w:color="000000" w:sz="6" w:space="0"/>
              <w:left w:val="outset" w:color="000000" w:sz="6" w:space="0"/>
              <w:bottom w:val="outset" w:color="000000" w:sz="6" w:space="0"/>
              <w:right w:val="outset" w:color="000000" w:sz="6" w:space="0"/>
            </w:tcBorders>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发票缴销</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3</w:t>
            </w:r>
          </w:p>
        </w:tc>
        <w:tc>
          <w:tcPr>
            <w:tcW w:w="5265" w:type="dxa"/>
            <w:tcBorders>
              <w:top w:val="outset" w:color="000000" w:sz="6" w:space="0"/>
              <w:left w:val="outset" w:color="000000" w:sz="6" w:space="0"/>
              <w:bottom w:val="outset" w:color="000000" w:sz="6" w:space="0"/>
              <w:right w:val="outset" w:color="000000" w:sz="6" w:space="0"/>
            </w:tcBorders>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预约定价安排谈签申请</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4</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航空运输企业年度清算申报</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5</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定期定额户申请核定及调整定额</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6</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农产品增值税进项税额扣除标准核定</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7</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货物运输业小规模纳税人异地代开增值税专用发票备案</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车辆购置税退税</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9</w:t>
            </w:r>
          </w:p>
        </w:tc>
        <w:tc>
          <w:tcPr>
            <w:tcW w:w="5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车船税退抵税</w:t>
            </w:r>
          </w:p>
        </w:tc>
        <w:tc>
          <w:tcPr>
            <w:tcW w:w="16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电子税务局</w:t>
            </w:r>
          </w:p>
        </w:tc>
      </w:tr>
    </w:tbl>
    <w:p>
      <w:pPr>
        <w:widowControl/>
        <w:adjustRightInd w:val="0"/>
        <w:snapToGrid w:val="0"/>
        <w:spacing w:line="360" w:lineRule="auto"/>
        <w:ind w:firstLine="640" w:firstLineChars="200"/>
        <w:jc w:val="left"/>
        <w:rPr>
          <w:rFonts w:ascii="仿宋" w:hAnsi="仿宋" w:eastAsia="仿宋" w:cs="宋体"/>
          <w:kern w:val="0"/>
          <w:sz w:val="32"/>
          <w:szCs w:val="32"/>
        </w:rPr>
      </w:pP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涉及相关办税指引，详列如下：</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1.发票领用</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参考建议：针对税控发票，纳税人可选择“全流程网上办理”，防疫期间，邮寄发票交付环节，无需脱口罩进行查验，只核对纳税人实名身份信息即可。</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针对二手车销售统一发票与通用定额发票，为减少接触与等待时间，纳税人可通过电子税务局“发票领用”进行申请，经办人带身份证原件到区分局指定专窗核实身份后领取即可。</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w:t>
      </w:r>
      <w:r>
        <w:rPr>
          <w:rFonts w:ascii="Calibri" w:hAnsi="Calibri" w:eastAsia="仿宋" w:cs="Calibri"/>
          <w:kern w:val="0"/>
          <w:sz w:val="32"/>
          <w:szCs w:val="32"/>
        </w:rPr>
        <w:t> </w:t>
      </w:r>
      <w:r>
        <w:rPr>
          <w:rFonts w:ascii="仿宋" w:hAnsi="仿宋" w:eastAsia="仿宋" w:cs="Times New Roman"/>
          <w:kern w:val="0"/>
          <w:sz w:val="32"/>
          <w:szCs w:val="32"/>
        </w:rPr>
        <w:t>发票缴销</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参考建议：纳税人可通过电子税务局“发票缴销”进行申请，并联系区分局上缴发票，应报经税务机关查验发票后，对发票实物进行缴销销毁。</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w:t>
      </w:r>
      <w:r>
        <w:rPr>
          <w:rFonts w:ascii="Calibri" w:hAnsi="Calibri" w:eastAsia="仿宋" w:cs="Calibri"/>
          <w:kern w:val="0"/>
          <w:sz w:val="32"/>
          <w:szCs w:val="32"/>
        </w:rPr>
        <w:t> </w:t>
      </w:r>
      <w:r>
        <w:rPr>
          <w:rFonts w:ascii="仿宋" w:hAnsi="仿宋" w:eastAsia="仿宋" w:cs="Times New Roman"/>
          <w:kern w:val="0"/>
          <w:sz w:val="32"/>
          <w:szCs w:val="32"/>
        </w:rPr>
        <w:t>预约定价安排谈签申请</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参考建议：有谈签预约定价安排意向的纳税人，通过电子税务局“预约定价安排谈签申请”向第四分局提出预备会谈申请。</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4．航空运输企业年度清算申报</w:t>
      </w:r>
    </w:p>
    <w:p>
      <w:pPr>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Times New Roman"/>
          <w:kern w:val="0"/>
          <w:sz w:val="32"/>
          <w:szCs w:val="32"/>
        </w:rPr>
        <w:t>参考建议：纳税人在电子税务局“航空运输企业年度清算申报”提交预申请资料，税务人员在电子税务局税务人端查询到记</w:t>
      </w:r>
      <w:r>
        <w:rPr>
          <w:rFonts w:ascii="仿宋" w:hAnsi="仿宋" w:eastAsia="仿宋" w:cs="宋体"/>
          <w:kern w:val="0"/>
          <w:sz w:val="32"/>
          <w:szCs w:val="32"/>
        </w:rPr>
        <w:t>录后，与纳税人电话确认，确认无误后，根据电子税务局税务人端申请信息，在对应功能录入办理。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5．定期定额户申请核定及调整定额</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纳税人在电子税务局“定期定额户申请核定及调整定额”提交预申请资料，税务人员在电子税务局税务人端查询到记录后，与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6．农产品增值税进项税额扣除标准核定</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参考建议：纳税人在电子税务局“农产品增值税进项税额扣除标准核定申请” 提交预申请资料，税务人员在电子税务局税务人端查询到记录后，与纳税人电话确认，确认无误后，根据电子税务局税务人端申请信息，在对应功能录入办理。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7货物运输业小规模纳税人异地代开增值税专用发票备案</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纳税人在电子税务局“货物运输业小规模纳税人异地代开增值税专用发票备案”提交预申请资料，税务人员在电子税务局税务人端查询到记录后，与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8.车辆购置税退税</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参考建议：纳税人在电子税务局“车辆购置税退税”提交预申请，税务人员在电子税务局税务人端查询到记录后，与纳税人电话确认，确认无误后，根据电子税务局税务人端申请信息，在对应功能录入办理。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9.车船税退抵税</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参考建议：企业纳税人在电子税务局“车船税退抵税”提交预申请，税务人员在电子税务局税务人端查询到记录后，与企业纳税人电话确认，确认无误后，根据电子税务局税务人端申请信息，在对应功能录入办理。</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全民防疫抗疫，国家税务总局深圳市税务局在行动。纳税人可通过上述清单之内的事项进行“非接触式”办税，各区税务机关应当积极引导，并提供必要的帮助。国家税务总局深圳市电子税务局将继续优化网上办理业务，持续跟踪落实，并及时在官方网站公布。</w:t>
      </w:r>
    </w:p>
    <w:p>
      <w:pPr>
        <w:widowControl/>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注：疫情期间，涉及材料交付的业务，为减少接触与等待时间，纳税人可与区分局约定交付时间与方式，提高交付效率。</w:t>
      </w:r>
    </w:p>
    <w:p>
      <w:pPr>
        <w:widowControl/>
        <w:adjustRightInd w:val="0"/>
        <w:snapToGrid w:val="0"/>
        <w:spacing w:line="360" w:lineRule="auto"/>
        <w:ind w:firstLine="643" w:firstLineChars="200"/>
        <w:jc w:val="left"/>
        <w:rPr>
          <w:rFonts w:ascii="仿宋" w:hAnsi="仿宋" w:eastAsia="仿宋" w:cs="宋体"/>
          <w:kern w:val="0"/>
          <w:sz w:val="32"/>
          <w:szCs w:val="32"/>
        </w:rPr>
      </w:pPr>
      <w:r>
        <w:rPr>
          <w:rFonts w:ascii="仿宋" w:hAnsi="仿宋" w:eastAsia="仿宋" w:cs="宋体"/>
          <w:b/>
          <w:bCs/>
          <w:kern w:val="0"/>
          <w:sz w:val="32"/>
          <w:szCs w:val="32"/>
        </w:rPr>
        <w:t>附件1：</w:t>
      </w:r>
    </w:p>
    <w:tbl>
      <w:tblPr>
        <w:tblStyle w:val="88"/>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080"/>
        <w:gridCol w:w="2265"/>
        <w:gridCol w:w="2385"/>
        <w:gridCol w:w="193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blHeader/>
          <w:jc w:val="center"/>
        </w:trPr>
        <w:tc>
          <w:tcPr>
            <w:tcW w:w="7665" w:type="dxa"/>
            <w:gridSpan w:val="4"/>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b/>
                <w:bCs/>
                <w:kern w:val="0"/>
                <w:sz w:val="24"/>
                <w:szCs w:val="24"/>
              </w:rPr>
              <w:t>《疫情期间电子税务局线上线下业务联动办理联系表》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blHeader/>
          <w:jc w:val="center"/>
        </w:trPr>
        <w:tc>
          <w:tcPr>
            <w:tcW w:w="1080" w:type="dxa"/>
            <w:vMerge w:val="restart"/>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序号</w:t>
            </w:r>
          </w:p>
        </w:tc>
        <w:tc>
          <w:tcPr>
            <w:tcW w:w="2265" w:type="dxa"/>
            <w:vMerge w:val="restart"/>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税务机关名称</w:t>
            </w:r>
          </w:p>
        </w:tc>
        <w:tc>
          <w:tcPr>
            <w:tcW w:w="4320" w:type="dxa"/>
            <w:gridSpan w:val="2"/>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业务办理联系电话</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blHeade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p>
        </w:tc>
        <w:tc>
          <w:tcPr>
            <w:tcW w:w="2385"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业务办理税务机关</w:t>
            </w:r>
          </w:p>
        </w:tc>
        <w:tc>
          <w:tcPr>
            <w:tcW w:w="1935"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12366转接线路</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第三分局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25111344</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第四分局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25843913</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3</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罗湖区局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25866300</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4</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福田区局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12366→按2→3</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5</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南山区局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86353781</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6</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蛇口区局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26808199</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按2→按5→按1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7</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前海区局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86729953</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按2→按5→按2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宝安区局-第一所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27931120</w:t>
            </w:r>
          </w:p>
        </w:tc>
        <w:tc>
          <w:tcPr>
            <w:tcW w:w="1935"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宝安区局-新安所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27884430</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宝安区局-第三所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27770969</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宝安区局-福海所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27395202</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宝安区局-第四所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28093257</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宝安区局-第五所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27259966</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宝安区局-新桥所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27292166</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宝安区局-第六所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27096922</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宝安区局-燕罗所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27711655</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9</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龙岗区局-第一所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84867923</w:t>
            </w:r>
          </w:p>
        </w:tc>
        <w:tc>
          <w:tcPr>
            <w:tcW w:w="1935"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按2→按7</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龙岗区局-第三所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28276248</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龙岗区局-第四所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28863509</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龙岗区局-第五所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84683872</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龙岗区局-龙城所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28922258</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龙岗区局-坪地所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84091718</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龙岗区局-坂田所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28894787</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龙岗区局-南湾所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28711742</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10</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龙华区局-民治所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29167711</w:t>
            </w:r>
          </w:p>
        </w:tc>
        <w:tc>
          <w:tcPr>
            <w:tcW w:w="1935"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按2→按8→按1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龙华区局-观湖所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27744612</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龙华区局-大浪所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28058831</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龙华区局-福城所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27983867</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龙华区局-第一所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28059173</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11</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光明区局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27734705</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按2→按8→按2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12</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盐田区局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25289864</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按2→按9→按1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13</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坪山区局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28828220</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按2→按9→按2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14</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大鹏区局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28380476</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按2→按9→按3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108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15</w:t>
            </w:r>
          </w:p>
        </w:tc>
        <w:tc>
          <w:tcPr>
            <w:tcW w:w="226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深汕区局</w:t>
            </w:r>
          </w:p>
        </w:tc>
        <w:tc>
          <w:tcPr>
            <w:tcW w:w="238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（0755）22092391</w:t>
            </w:r>
          </w:p>
        </w:tc>
        <w:tc>
          <w:tcPr>
            <w:tcW w:w="1935"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center"/>
              <w:rPr>
                <w:rFonts w:ascii="仿宋" w:hAnsi="仿宋" w:eastAsia="仿宋" w:cs="宋体"/>
                <w:kern w:val="0"/>
                <w:sz w:val="24"/>
                <w:szCs w:val="24"/>
              </w:rPr>
            </w:pPr>
            <w:r>
              <w:rPr>
                <w:rFonts w:ascii="仿宋" w:hAnsi="仿宋" w:eastAsia="仿宋" w:cs="宋体"/>
                <w:kern w:val="0"/>
                <w:sz w:val="24"/>
                <w:szCs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5" w:type="dxa"/>
            <w:gridSpan w:val="4"/>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注：1.本表联系电话仅限于疫情期间远程办理电子税务局部分涉税业务。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5" w:type="dxa"/>
            <w:gridSpan w:val="4"/>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jc w:val="left"/>
              <w:rPr>
                <w:rFonts w:ascii="仿宋" w:hAnsi="仿宋" w:eastAsia="仿宋" w:cs="宋体"/>
                <w:kern w:val="0"/>
                <w:sz w:val="24"/>
                <w:szCs w:val="24"/>
              </w:rPr>
            </w:pPr>
            <w:r>
              <w:rPr>
                <w:rFonts w:ascii="仿宋" w:hAnsi="仿宋" w:eastAsia="仿宋" w:cs="宋体"/>
                <w:kern w:val="0"/>
                <w:sz w:val="24"/>
                <w:szCs w:val="24"/>
              </w:rPr>
              <w:t> </w:t>
            </w:r>
            <w:r>
              <w:rPr>
                <w:rFonts w:ascii="Calibri" w:hAnsi="Calibri" w:eastAsia="仿宋" w:cs="Calibri"/>
                <w:kern w:val="0"/>
                <w:sz w:val="24"/>
                <w:szCs w:val="24"/>
              </w:rPr>
              <w:t> </w:t>
            </w:r>
            <w:r>
              <w:rPr>
                <w:rFonts w:ascii="仿宋" w:hAnsi="仿宋" w:eastAsia="仿宋" w:cs="宋体"/>
                <w:kern w:val="0"/>
                <w:sz w:val="24"/>
                <w:szCs w:val="24"/>
              </w:rPr>
              <w:t>2.福田区局由远程坐席作为联动业务统一受理入口，根据分工分别向第一、三、四所及税源管理一科转办。</w:t>
            </w:r>
          </w:p>
        </w:tc>
      </w:tr>
    </w:tbl>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60" w:name="_Toc34141521"/>
      <w:bookmarkStart w:id="161" w:name="_Toc33451120"/>
    </w:p>
    <w:p>
      <w:pPr>
        <w:pStyle w:val="830"/>
        <w:adjustRightInd w:val="0"/>
        <w:snapToGrid w:val="0"/>
        <w:spacing w:before="0" w:after="0" w:line="360" w:lineRule="auto"/>
        <w:jc w:val="center"/>
        <w:rPr>
          <w:rFonts w:ascii="仿宋" w:hAnsi="仿宋" w:eastAsia="仿宋" w:cs="Times New Roman"/>
          <w:bCs w:val="0"/>
          <w:kern w:val="0"/>
        </w:rPr>
      </w:pPr>
      <w:r>
        <w:rPr>
          <w:rFonts w:hint="eastAsia" w:ascii="仿宋" w:hAnsi="仿宋" w:eastAsia="仿宋" w:cs="Times New Roman"/>
          <w:bCs w:val="0"/>
          <w:kern w:val="0"/>
        </w:rPr>
        <w:t>国家税务总局深圳市税务局电子税务局新上线无盘勾选发票功能操作指引</w:t>
      </w:r>
      <w:bookmarkEnd w:id="160"/>
      <w:bookmarkEnd w:id="161"/>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为解决新冠病毒疫情期间纳税人</w:t>
      </w:r>
      <w:r>
        <w:rPr>
          <w:rFonts w:ascii="仿宋" w:hAnsi="仿宋" w:eastAsia="仿宋" w:cs="Times New Roman"/>
          <w:kern w:val="0"/>
          <w:sz w:val="32"/>
          <w:szCs w:val="32"/>
        </w:rPr>
        <w:t>Ukey与税控盘不在身边无法办理网上抄报税的情形，纳税人可通过电子税务局直接跳转登录增值税发票综合服务平台，并进行发票勾选、统计确认操作。单独登录综合服务平台时，登录和确认都需要插盘并输入盘密码。但是通过电子税务局单点登录后，不需要插盘就可以勾选、确认。操作流程如下：</w:t>
      </w:r>
    </w:p>
    <w:p>
      <w:pPr>
        <w:adjustRightInd w:val="0"/>
        <w:snapToGrid w:val="0"/>
        <w:spacing w:line="360" w:lineRule="auto"/>
        <w:ind w:firstLine="640" w:firstLineChars="200"/>
        <w:jc w:val="left"/>
        <w:outlineLvl w:val="0"/>
        <w:rPr>
          <w:rFonts w:ascii="仿宋" w:hAnsi="仿宋" w:eastAsia="仿宋" w:cs="Times New Roman"/>
          <w:kern w:val="0"/>
          <w:sz w:val="32"/>
          <w:szCs w:val="32"/>
        </w:rPr>
      </w:pPr>
      <w:r>
        <w:rPr>
          <w:rFonts w:ascii="仿宋" w:hAnsi="仿宋" w:eastAsia="仿宋" w:cs="Times New Roman"/>
          <w:kern w:val="0"/>
          <w:sz w:val="32"/>
          <w:szCs w:val="32"/>
        </w:rPr>
        <w:t>1、通过“实名”或“税号”，登录电子税务局地址</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w:t>
      </w:r>
      <w:r>
        <w:fldChar w:fldCharType="begin"/>
      </w:r>
      <w:r>
        <w:instrText xml:space="preserve"> HYPERLINK "https://etax.shenzhen.chinatax.gov.cn" </w:instrText>
      </w:r>
      <w:r>
        <w:fldChar w:fldCharType="separate"/>
      </w:r>
      <w:r>
        <w:rPr>
          <w:rStyle w:val="222"/>
          <w:rFonts w:ascii="仿宋" w:hAnsi="仿宋" w:eastAsia="仿宋" w:cs="Times New Roman"/>
          <w:color w:val="auto"/>
          <w:kern w:val="0"/>
          <w:sz w:val="32"/>
          <w:szCs w:val="32"/>
        </w:rPr>
        <w:t>https://etax.shenzhen.chinatax.gov.cn</w:t>
      </w:r>
      <w:r>
        <w:rPr>
          <w:rStyle w:val="222"/>
          <w:rFonts w:ascii="仿宋" w:hAnsi="仿宋" w:eastAsia="仿宋" w:cs="Times New Roman"/>
          <w:color w:val="auto"/>
          <w:kern w:val="0"/>
          <w:sz w:val="32"/>
          <w:szCs w:val="32"/>
        </w:rPr>
        <w:fldChar w:fldCharType="end"/>
      </w:r>
      <w:r>
        <w:rPr>
          <w:rFonts w:ascii="仿宋" w:hAnsi="仿宋" w:eastAsia="仿宋" w:cs="Times New Roman"/>
          <w:kern w:val="0"/>
          <w:sz w:val="32"/>
          <w:szCs w:val="32"/>
        </w:rPr>
        <w:t>）</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2、依次打开【我要办税】==》【发票使用】==》【增值税发票综合服务平台】</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3、即可直接跳转到“增值税发票综合服务平台”登录后的首页。</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4、参考《增值税发票综合服务平台操作手册V4.0.04（企业版)202001》，进入登录后的功能。</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注：从电子税务局单点登录过去的增值税发票综合服务平台内的操作不需要再插盘</w:t>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62" w:name="_Toc34141522"/>
      <w:bookmarkStart w:id="163" w:name="_Toc33451121"/>
      <w:r>
        <w:rPr>
          <w:rFonts w:hint="eastAsia" w:ascii="仿宋" w:hAnsi="仿宋" w:eastAsia="仿宋" w:cs="Times New Roman"/>
          <w:bCs w:val="0"/>
          <w:kern w:val="0"/>
        </w:rPr>
        <w:t>国家税务总局深圳市税务局关于发布“非接触式”网上办税清单的通告</w:t>
      </w:r>
      <w:bookmarkEnd w:id="162"/>
      <w:bookmarkEnd w:id="163"/>
    </w:p>
    <w:p>
      <w:pPr>
        <w:widowControl/>
        <w:shd w:val="clear" w:color="auto" w:fill="FFFFFF"/>
        <w:adjustRightInd w:val="0"/>
        <w:snapToGrid w:val="0"/>
        <w:spacing w:line="360" w:lineRule="auto"/>
        <w:jc w:val="left"/>
        <w:rPr>
          <w:rFonts w:ascii="仿宋" w:hAnsi="仿宋" w:eastAsia="仿宋" w:cs="宋体"/>
          <w:kern w:val="0"/>
          <w:sz w:val="32"/>
          <w:szCs w:val="32"/>
        </w:rPr>
      </w:pPr>
      <w:r>
        <w:rPr>
          <w:rFonts w:ascii="仿宋" w:hAnsi="仿宋" w:eastAsia="仿宋" w:cs="宋体"/>
          <w:kern w:val="0"/>
          <w:sz w:val="32"/>
          <w:szCs w:val="32"/>
        </w:rPr>
        <w:t>尊敬的纳税人：</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为深入贯彻习近平总书记关于新冠肺炎疫情防控的一系列重要指示批示精神，全面落实党中央、国务院部署，本市税务部门积极部署开展“非接触式”办税服务工作，充分发挥电子税务局“非接触式”办税主渠道作用，为纳税人提供优质便捷的网上办税服务，尽可能减少“面对面”接触办税，切实保障公众健康安全。现将有关事项通告如下：</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按照“尽可能网上办”的原则，国家税务总局深圳市税务局梳理了 “非接触式”网上办税清单（见附件1），203项涉税缴费事项可全程网上办，办理条件与操作指引可通过深圳市税务局门户网站首页-“纳税服务”-“办税指南”查阅，办理渠道包括深圳市电子税务局、深圳税务服务号、自然人电子税务局、“@深税”、邮寄等“非接触式”途径。另附《电子税务局非接触式办税相关问题解答》（详见附件2）。</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全民防疫抗疫，国家税务总局深圳市税务局在行动。纳税人可通过清单之内的事项进行“非接触式”办税，各区税务机关应当积极引导，并提供必要的帮助。国家税务总局深圳市电子税务局将继续优化网上办理业务，持续跟踪落实，并及时在官方网站公布。</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注：防疫期间，邮寄发票交付环节，无需脱口罩进行查验，只核对纳税人实名身份信息即可。</w:t>
      </w:r>
    </w:p>
    <w:p>
      <w:pPr>
        <w:widowControl/>
        <w:shd w:val="clear" w:color="auto" w:fill="FFFFFF"/>
        <w:adjustRightInd w:val="0"/>
        <w:snapToGrid w:val="0"/>
        <w:spacing w:line="360" w:lineRule="auto"/>
        <w:jc w:val="left"/>
        <w:outlineLvl w:val="0"/>
        <w:rPr>
          <w:rFonts w:ascii="仿宋" w:hAnsi="仿宋" w:eastAsia="仿宋" w:cs="宋体"/>
          <w:kern w:val="0"/>
          <w:sz w:val="32"/>
          <w:szCs w:val="32"/>
        </w:rPr>
      </w:pPr>
      <w:r>
        <w:rPr>
          <w:rFonts w:ascii="仿宋" w:hAnsi="仿宋" w:eastAsia="仿宋" w:cs="宋体"/>
          <w:kern w:val="0"/>
          <w:sz w:val="32"/>
          <w:szCs w:val="32"/>
        </w:rPr>
        <w:t> </w:t>
      </w:r>
      <w:r>
        <w:rPr>
          <w:rFonts w:ascii="仿宋" w:hAnsi="仿宋" w:eastAsia="仿宋" w:cs="宋体"/>
          <w:b/>
          <w:bCs/>
          <w:kern w:val="0"/>
          <w:sz w:val="32"/>
          <w:szCs w:val="32"/>
        </w:rPr>
        <w:t>附件1：深圳市税务局“非接触式”网上办税清单</w:t>
      </w:r>
    </w:p>
    <w:tbl>
      <w:tblPr>
        <w:tblStyle w:val="88"/>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645"/>
        <w:gridCol w:w="4710"/>
        <w:gridCol w:w="303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25" w:hRule="atLeast"/>
          <w:tblHeader/>
          <w:jc w:val="center"/>
        </w:trPr>
        <w:tc>
          <w:tcPr>
            <w:tcW w:w="645"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序号</w:t>
            </w:r>
          </w:p>
        </w:tc>
        <w:tc>
          <w:tcPr>
            <w:tcW w:w="4710"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税务事项名称</w:t>
            </w:r>
          </w:p>
        </w:tc>
        <w:tc>
          <w:tcPr>
            <w:tcW w:w="3030" w:type="dxa"/>
            <w:tcBorders>
              <w:top w:val="outset" w:color="000000" w:sz="6" w:space="0"/>
              <w:left w:val="outset" w:color="000000" w:sz="6" w:space="0"/>
              <w:bottom w:val="outset" w:color="000000" w:sz="6" w:space="0"/>
              <w:right w:val="outset" w:color="000000" w:sz="6" w:space="0"/>
            </w:tcBorders>
            <w:shd w:val="clear" w:color="auto" w:fill="7030A0"/>
            <w:vAlign w:val="center"/>
          </w:tcPr>
          <w:p>
            <w:pPr>
              <w:widowControl/>
              <w:adjustRightInd w:val="0"/>
              <w:snapToGrid w:val="0"/>
              <w:jc w:val="center"/>
              <w:rPr>
                <w:rFonts w:ascii="仿宋" w:hAnsi="仿宋" w:eastAsia="仿宋" w:cs="宋体"/>
                <w:kern w:val="0"/>
                <w:sz w:val="32"/>
                <w:szCs w:val="32"/>
              </w:rPr>
            </w:pPr>
            <w:r>
              <w:rPr>
                <w:rFonts w:ascii="仿宋" w:hAnsi="仿宋" w:eastAsia="仿宋" w:cs="宋体"/>
                <w:b/>
                <w:bCs/>
                <w:kern w:val="0"/>
                <w:sz w:val="32"/>
                <w:szCs w:val="32"/>
              </w:rPr>
              <w:t>备注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一照一码户登记信息确认</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通过登记辅助平台自动办理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两证整合个体工商户登记信息确认</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通过登记辅助平台自动办理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两证整合个体工商户信息变更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通过登记辅助平台自动办理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一照一码户信息变更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通过登记辅助平台自动办理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税务登记信息变更（非“多证合一”“两证整合”纳税人）</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实名注册</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办税人员管理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增值税一般纳税人登记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选择按小规模纳税人纳税的情况说明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增值税适用加计抵减政策声明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适用15%加计抵减政策的声明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存款账户账号报告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社会保险费缴费人存款账户账号报告表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财务会计制度及核算软件备案报告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银税三方（委托）划缴协议</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综合税源信息报告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环境保护税税源信息采集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增量房房源信息报告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土地增值税项目登记信息变更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建筑业项目报告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注销建筑业项目报告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不动产项目报告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注销不动产项目报告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跨区域涉税事项报告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跨区域涉税事项延期</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跨区域涉税事项报验</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跨区域涉税事项信息反馈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增值税即征即退备案申请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税收减免备案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停业登记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复业登记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企业所得税清算报备</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税务注销即时办理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注销扣缴税款登记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发票遗失、损毁报告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文化事业建设费缴费信息报告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发票票种核定</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发票验（交）旧</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39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增值税预缴申报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增值税一般纳税人申报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增值税小规模纳税人申报（含一键零申报）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烟类应税消费品消费税月（季）度申报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卷烟应税消费品消费税月（季）度申报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酒类消费税月（季）度申报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成品油消费税月（季）度申报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小汽车消费税月（季）度申报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电池消费税月（季）度申报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涂料消费税月（季）度申报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49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其他类消费税月（季）度申报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消费税附加税（费）补申报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居民企业（查账征收）企业所得税月（季）度申报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居民企业（查账征收）企业所得税年度申报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居民企业（核定征收）企业所得税月（季）度申报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居民企业（核定征收）企业所得税年度申报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清算企业所得税申报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企业所得税汇总纳税信息报告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非居民企业企业所得税自行申报(2019年版)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非居民企业（据实申报）企业所得税年度申报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59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非居民企业（据实申报）企业所得税季度申报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非居民企业（核定征收）企业所得税季度申报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非居民企业（核定征收）企业所得税年度申报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分支机构企业所得税年度纳税申报表（2018版）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关联业务往来年度报告申报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扣缴企业所得税申报（2019年版）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企业所得税年度附送资料采集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研发费用加计扣除鉴定申请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单位社会保险费特殊缴费申报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车辆购置税申报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69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城镇土地使用税、房产税申报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代扣代缴、代收代缴申报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车船税申报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印花税申报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代扣代缴证券交易印花税申报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耕地占用税申报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契税申报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资源税申报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土地增值税预征申报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房地产项目尾盘销售土地增值税申报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79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环境保护税一般申报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环境保护税抽样测算及按次申报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对外合作开采石油企业信息采集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附加税（费）申报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文化事业建设费申报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废弃电器电子产品处理基金申报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非税收入通用申报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通用申报（税及附征税费）</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定期定额户自行申报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委托代征报告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89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申报错误更正</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申报作废</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逾期申报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财务报表数据转换</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财务报表报送与信息采集（企业会计准则）季报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财务报表报送与信息采集（企业会计准则）年报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财务报表报送与信息采集（小企业会计准则）季报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财务报表报送与信息采集（小企业会计准则）年报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财务报表报送与信息采集（企业会计制度）季报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财务报表报送与信息采集（企业会计制度）年报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99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财务报表报送与信息采集（政府会计制度）季报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财务报表报送与信息采集（政府会计制度）年报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财务报表报送与信息采集（其他会计制度）季报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财务报表报送与信息采集（其他会计制度）年报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企业集团合并财务报表报送与信息采集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税收统计调查数据采集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欠税人处置不动产或者大额资产报告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境内机构和个人发包工程作业或劳务项目备案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税费缴纳</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开具税收完税（费）证明(文书式)</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109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开具税收完税（费）证明(表格式)</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开具税收完税（费）证明（社保）</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税收完税证明(社保费) (表格式)</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中国税收居民身份证明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境内机构和个人发包工程作业或劳务合同款项支付情况备案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源泉扣缴合同信息采集及变更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服务贸易等项目对外支付税务备案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开具中央非税收入统一票据</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企业印制发票审批</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对纳税人延期缴纳税款核准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119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对纳税人延期申报核准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对纳税人变更纳税定额的核准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增值税专用发票（增值税税控系统）最高开票限额审批</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对采取实际利润额预缴以外的其他企业所得税预缴方式的核定</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变更税务行政许可</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企业退役士兵采集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企业重点群体人员采集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税收减免优惠备案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税收减免核准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误收多缴退抵税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129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入库减免退抵税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汇算清缴结算多缴退抵税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增值税期末留抵税额退税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纳税信用补评</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纳税信用复评</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涉税专业服务机构基本信息采集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涉税专业服务机构基本信息变更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涉税专业服务人员基本信息采集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涉税专业服务人员基本信息变更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涉税专业服务协议信息采集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139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涉税专业服务协议信息变更及终止</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涉税专业服务中止</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涉税专业服务恢复</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涉税专业服务机构专项报告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涉税专业服务机构年度报告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税务师事务所行政登记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税务师事务所行政登记变更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税务师事务所行政登记终止</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合并分立报告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一照一码户清税申报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149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两证整合个体工商户清税申报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注销税务登记预检</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注销登记当期网上申报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注销税务登记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代开增值税专用发票（纸质发票邮寄）</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代开增值税普通发票（纸质发票邮寄）</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代开增值税电子普通发票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点下代开APP</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组织临时登记</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印制有本单位名称发票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发票查验</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159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非正常户往期申报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非正常户往期批量零申报及违章处理申请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违法处置</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代征代扣税款结报单</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区块链电子发票申请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区块链电子发票开票模式选择</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自行开发申报软件资格申请及变更</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税务数据查询授权</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发票领用（税控发票邮寄）</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增值税税控发票开票软件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红字增值税专用发票开具及作废</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增值税税控发票开票软件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169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增值税税控系统专用设备变更发行</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增值税税控发票开票软件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逾期抄报税远程解锁税控设备</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增值税税控发票开票软件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出口货物劳务免退税申报核准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外国驻华使（领）馆及其馆员在华购买货物和服务增值税退税申报核准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外贸企业外购应税服务免退税申报核准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外贸综合服务企业代办退税申报核准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购进自用货物免退税申报核准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出口已使用过设备免退税申报核准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退税代理机构结算核准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航天发射业务免退税申报核准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179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生产企业出口非自产货物消费税退税申报核准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出口货物劳务免抵退税申报核准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增值税零税率应税服务免抵退税申报核准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生产企业进料加工业务免抵退税核销</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出口退（免）税延期申报核准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出口退（免）税凭证信息查询</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出口退（免）税凭证无相关电子信息申报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出口退税资料报送与信息采集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出口退（免）税证明开具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来料加工免税证明及核销办理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189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出口卷烟相关证明及免税核销办理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作废出口退（免）税证明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补办出口退（免）税证明</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出口退（免）税企业备案信息报告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出口企业放弃退（免）税权报告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194</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其他出口退（免）税备案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电子税务局出口退税平台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195</w:t>
            </w:r>
          </w:p>
        </w:tc>
        <w:tc>
          <w:tcPr>
            <w:tcW w:w="47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退税商店资格信息报告</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离境退税系统</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196</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多处经营所得个人所得税汇总年度申报（C表）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197</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查询本人2019年1月1日起的收入纳税明细</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198</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经营所得个人所得税月（季）度申报（A表）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199</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经营所得个人所得税年度申报（B表）</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200</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专项附加扣除信息填报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201</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个人所得税代扣代缴（预扣预缴）申报</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202</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个人所得税股权奖励、转增股本分期纳税，股权激励、技术成果投资入股递延纳税，科技成果转化现金奖励等个人所得税备案</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203</w:t>
            </w:r>
          </w:p>
        </w:tc>
        <w:tc>
          <w:tcPr>
            <w:tcW w:w="4710" w:type="dxa"/>
            <w:tcBorders>
              <w:top w:val="outset" w:color="000000" w:sz="6" w:space="0"/>
              <w:left w:val="outset" w:color="000000" w:sz="6" w:space="0"/>
              <w:bottom w:val="outset" w:color="000000" w:sz="6" w:space="0"/>
              <w:right w:val="outset" w:color="000000" w:sz="6" w:space="0"/>
            </w:tcBorders>
            <w:shd w:val="clear" w:color="auto" w:fill="FFFFFF"/>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个人所得税扣缴手续费申请</w:t>
            </w:r>
          </w:p>
        </w:tc>
        <w:tc>
          <w:tcPr>
            <w:tcW w:w="30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adjustRightInd w:val="0"/>
              <w:snapToGrid w:val="0"/>
              <w:jc w:val="left"/>
              <w:rPr>
                <w:rFonts w:ascii="仿宋" w:hAnsi="仿宋" w:eastAsia="仿宋" w:cs="宋体"/>
                <w:kern w:val="0"/>
                <w:sz w:val="32"/>
                <w:szCs w:val="32"/>
              </w:rPr>
            </w:pPr>
            <w:r>
              <w:rPr>
                <w:rFonts w:ascii="仿宋" w:hAnsi="仿宋" w:eastAsia="仿宋" w:cs="宋体"/>
                <w:kern w:val="0"/>
                <w:sz w:val="32"/>
                <w:szCs w:val="32"/>
              </w:rPr>
              <w:t>自然人电子税务局</w:t>
            </w:r>
          </w:p>
        </w:tc>
      </w:tr>
    </w:tbl>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 </w:t>
      </w:r>
    </w:p>
    <w:p>
      <w:pPr>
        <w:widowControl/>
        <w:shd w:val="clear" w:color="auto" w:fill="FFFFFF"/>
        <w:adjustRightInd w:val="0"/>
        <w:snapToGrid w:val="0"/>
        <w:spacing w:line="360" w:lineRule="auto"/>
        <w:jc w:val="left"/>
        <w:rPr>
          <w:rFonts w:ascii="仿宋" w:hAnsi="仿宋" w:eastAsia="仿宋" w:cs="宋体"/>
          <w:kern w:val="0"/>
          <w:sz w:val="32"/>
          <w:szCs w:val="32"/>
        </w:rPr>
      </w:pPr>
      <w:r>
        <w:rPr>
          <w:rFonts w:ascii="仿宋" w:hAnsi="仿宋" w:eastAsia="仿宋" w:cs="宋体"/>
          <w:b/>
          <w:bCs/>
          <w:kern w:val="0"/>
          <w:sz w:val="32"/>
          <w:szCs w:val="32"/>
        </w:rPr>
        <w:t>附件2：电子税务局“非接触式”办税缴费相关问题解答</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为积极应对新型冠状病毒感染的肺炎疫情，最大程度降低疫情传播风险，按照“尽可能网上办”的原则，针对纳税人关注的网上办税重点问题，国家税务总局深圳市税务局编制了《电子税务局非接触式办税相关问题解答》。纳税人可依托电子税务局等各类“非接触式”办税缴费服务渠道，办理各项主要涉税事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一、如何快速进入电子税务局办理涉税业务</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深圳市电子税务局提供网页版、微信公众号和@深税3种“非接触式”办税渠道：（1）网页版：纳税人通过浏览器访问深圳市税务局官网（https://shenzhen.chinatax.gov.cn/sztax/index.shtml）后，点击首页中的“深圳市电子税务局”即可跳转进入。（2）微信公众号：关注“深圳税务服务号”，点击“我要办”-“微信税务局”即可进入。（3）@深税：关注国家税务总局深圳市税务局企业号，即可使用@深税。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二、电子税务局主要包括哪些办税功能？</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答：电子税务局主要包括“我的信息”“我要办税”“我要查询”“互动中心”“公众服务”等五类功能。其中： 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“我的信息”用于向纳税人提供自身基本信息和账户管理。包括纳税人信息、纳税人电子资料查阅和维护、用户管理和用户登录等具体功能。 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我要办税”用于向纳税人提供涉税事项的办理。包括纳税人综合信息报告、发票使用、各税费种申报与缴纳、税收减免、证明开具、退税办理、税务行政许可、核定办理、增值税抵扣凭证管理、税务代保管资金收取、预约定价安排谈签申请、纳税信用、涉税专业服务机构管理以及法律追责与救济事项等具体功能。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我要查询”用于向纳税人提供状态查询。包括办税进度及结果信息、发票信息、申报信息、缴款信息、欠税信息、优惠信息、定额核定、违法违规、证明信息、涉税中介机构信息、纳税信用状态、电子资料等具体功能。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互动中心”用于税务机关同纳税人之间信息互动。纳税人可获取税务机关推送及纳税人定制的各类消息，以及涉及风险、信用、待办事项提醒信息；并实现在线预约办税和征纳交互。包括我的待办、我的提醒、预约办税、在线交互、办税评价、纳税人需求等具体功能。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公众服务”用于向纳税人提供税务机关通知公告、咨询辅导以及公开信息查询等服务，无需注册登录即可直接使用。包括公告类，主要有政策法规通知公告、重大税收违法案件公告、信用级别A级纳税人公告、欠税公告、涉税专业服务机构信息公告；辅助办税类，主要有纳税人学堂、税收政策及解读、办税指南、操作规程、下载服务、热点问题、重点专题、办税地图、办税日历；公开信息查询类，主要有发票状态、重大税收违法案件查询、信用级别A级纳税人查询、欠税查询、证明信息查询、涉税专业服务机构信息查询等具体功能。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此外，电子税务局还提供部分一键办理入口： 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“我的待办”中可获取税务机关向纳税人主动推送的消息、通知、待办事项提醒等信息。 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“我要预约”中可预约线上线下办税事项。 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“通知公告”中可直接查询税务机关向纳税人和社会公众发布的涉税通知、重要提醒、公告等文件、资讯等信息。 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“个性服务”中可办理办税套餐等个性化办税事项、定制服务事项和创新服务事项。 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三、如何查看各税费种的征期以及申报期的最新变化情况？ 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答：纳税人无需注册登录，可通过选择“公众服务”，进入“咨询辅导”，再选择“办税日历”，查看各税费种税款申报缴纳起止日期。</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四、纳税人申报若有困难，如何申请延期申报？ 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 “对纳税人延期申报核准”，填写并提交延期申报申请使用的《税务行政许可申请表》。税务机关审批完成后，纳税人即可获取审批结果信息，并查询和打印受理结果。纳税人也可登录后通过选择“我要查询”，进入“办税进度及结果信息查询”，查询办理进度和结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五、纳税人缴纳税款若有困难，如何申请延期缴纳税款？ 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对纳税人延期缴纳税款核准”，填写并提交延期缴纳税款申请使用的《税务行政许可申请表》。税务机关审批完成后，纳税人即可获取审批结果信息，并查询和打印受理结果。纳税人也可登录后通过选择“我要查询”，进入“办税进度及结果信息查询”，查询办理进度和结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六、纳税人如何申请享受税收减免优惠？</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税收减免”，办理税收减免备案以及税收减免核准事项。税务机关办理完成后，纳税人即可获取结果信息，并查询和打印受理结果。纳税人也可登录后通过选择“我要查询”，进入“办税进度及结果信息查询”，查询办理进度和结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七、纳税人如何申请不予加收滞纳金？ 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一般退（抵）税管理”，再选择“不予加收滞纳金申请”，根据系统提示，填写并提交相关信息，上传所需的资料，线下办理部分按照相关提示进行办理，税务机关审核完成后，纳税人即可获取结果信息。纳税人也可登录后通过选择“我要查询”，进入“办税进度及结果信息查询”，查询办理进度和结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八、新开业纳税人哪些事项可以“非接触式”办理？ 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新开业纳税人可通过电子税务局，选择进入“新办纳税人套餐服务”，办理电子税务局注册开户、登记信息确认、财务会计制度及核算软件备案、纳税人存款账户账号报告、增值税一般纳税人登记、发票票种核定、增值税专用发票最高开票限额审批、实名办税、增值税税控系统专用设备初始发行、发票领用等。具体办理中，纳税人可依据自身情况，按照相关提示，有选择性地完成上述等事项。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九、纳税人如何领用发票以及办理发票相关业务？ 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发票领用”，申请发票。如需同时办理发票票种核定、最高开票限额审批等相关业务，可在电子税务局中选择对应功能办理，或直接选择“发票套餐”办理。套餐中主要包括发票票种核定、增值税专用发票（增值税税控系统）最高开票限额审批、发票领用、发票验（交）旧、发票缴销等。纳税人提交申请，税务机关完成处理后，纳税人可获取相关回执。对于部分无法全程在线办结的事项，线下办理部分按照相关提示进行办理。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十、新开业纳税人是否能够“非接触式”领用发票？</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新开业纳税人可通过电子税务局，选择进入“新办纳税人套餐”，填写完成相关税务信息报告后，根据系统提示，完成“发票票种核定”“增值税税控系统专用设备初始发行”和“发票申领”等业务申请。税务机关审批完成后，即可领用发票。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十一、纳税人如何申请代开发票和作废代开发票？</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已办理税务登记的小规模纳税人（包括个体经营者）以及其他可代开增值税专用发票的纳税人，如发生增值税应税行为、需要开具增值税专用发票的，可登录后通过选择“我要办税”，进入“代开增值税专用发票”，申请代开增值税专用发票。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对符合代开增值税普通发票条件的单位纳税人，可登录后通过选择“我要办税”，进入“代开增值税普通发票”，申请代开增值税普通发票。 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开具完成后电子税务局推送信息通知纳税人领取发票。若采取邮寄方式，税务机关向纳税人推送配送信息。 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税务机关为纳税人代开发票后，如果纳税人发生销货退回或销售折让等情形，需要作废代开发票的，可登录后通过选择“我要办税”，进入“代开发票作废”，提交作废代开发票申请及相关附报资料，线下办理部分按照相关提示进行办理，待税务机关审核完成后即可作废。</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十二、如何进行增值税及附加税费申报缴税？</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税费申报及缴纳”，再选择“增值税及附加税（费）申报”，完成增值税和附加税费申报缴税。如涉及增值税、消费税、附加税（费）、文化事业建设费等多个税费种申报和税款缴纳，可选择进入“主附税联合申报缴纳套餐”，完成增值税申报、消费税申报、附加税（费）申报、文化事业建设费申报以及相应的税（费）款缴纳。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十三、如何进行消费税及附加税费申报缴税？</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答：纳税人可登录后通过选择“我要办税”，进入“税费申报及缴纳”，再选择“消费税及附加税（费）申报”，完成消费税和附加税费申报缴税。 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十四、如何进行车辆购置税申报缴税？</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答：纳税人可登录后通过选择“我要办税”，进入“税费申报及缴纳”，再选择“其他申报”，进入“车购税申报”，完成一般车辆购置税申报及缴款业务。 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十五、如何办理网签三方协议？ 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综合信息报告”，再选择“制度信息报告”，进入“网签三方协议”，填写并提交相关开户行信息及纳税人信息。纳税人根据提示信息，联系开户银行完成后续业务办理。目前部分开户银行可全程完成三方协议网签。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十六、纳税人如何变更税务登记信息？</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依据纳税人类别，对应进入“一照一码户信息变更”“两证整合个体工商户信息变更”或者“税务登记信息变更”，填写并提交《变更税务登记表》及相关附报资料，即可完成税务登记信息的变更。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十七、纳税人如何申请办理增值税一般纳税人资格登记？</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综合信息报告”，再选择“资格信息报告”，进入“增值税一般纳税人登记”，填写并提交《增值税一般纳税人登记表》，完成增值税一般纳税人登记业务办理。纳税人可登录后通过选择 “我的信息”，进入“纳税人信息”，查看已生效的资格信息。 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十八、纳税人如何申请办理注销？ 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其中“企业所得税清算报备”仅针对除分支机构以外的已认定企业所得税税种的纳税人办理，其他类型纳税人无需办理。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十九、需注销的纳税人如何办理注销所属期应申报税（费）种的申报及税款缴纳？</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无未结欠税及罚款、无逾期未申报的纳税人，可通过登录电子税务局，选择进入“清税注销税（费）申报及缴纳套餐”，办理当期[注销当月（季、年）的上一所属期，且注销申请日期在上期申报的征期内]，以及注销所属期[注销当月（季、年）的所属期]应申报税（费）种的申报及税款缴纳；同时，对已认定企业所得税税种的纳税人，除分支机构外，还可完成企业清算所得税申报。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二十、纳税人如需调整定期定额如何办理？</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如需调整定期定额，可登录后通过选择“我要办税”，进入“定期定额户申请核定及调整定额”，填写并提交《个体工商户定额核定审批表》及相关附报资料。税务机关审批完成后，纳税人即可获取审批结果信息，并在电子税务局查看和打印受理结果。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二十一、纳税人如何申请退税？</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办税”，进入“一般退（抵）税管理”，填写并提交《退（抵）税申请表》。税务机关审批完成后，纳税人即可获取审批结果信息。纳税人也可登录后通过选择电子税务局“我要查询”，进入“办税进度及结果信息查询”，查询办理进度和结果。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纳税人可申请的退税主要包括：误收多缴退抵税，入库减免退抵税，汇算清缴结算多缴退抵税，车辆购置税退税，车船税退抵税，增值税期末留抵税额退税，以及石脑油、燃料油消费税退税等。 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二十二、纳税人如需开具涉税证明如何办理？</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答：需要开具涉税证明的纳税人，可登录后通过选择“我要办税”，进入“证明开具”，申请开具涉税证明。 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纳税人可开具的涉税证明主要包括：税收完税证明（文书式）、税收完税证明（表格式）、中国税收居民身份证明、服务贸易等项目对外支付税务备案、转开印花税票销售凭证、转开税收缴款书（出口货物劳务专用）、出口退（免）税相关证明等。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二十三、税务代理机构如何向税务机关报送相关信息和资料？</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答：税务代理机构可通过登录电子税务局，选择进入“涉税专业服务机构管理套餐”，向税务机关报送机构、人员、委托协议等信息。 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涉税专业服务机构管理套餐包括：税务师事务所行政登记；税务师事务所行政登记变更及终止；涉税专业服务机构（人员）基本信息采集；涉税专业服务协议信息采集；涉税专业服务业务信息采集；涉税专业服务协议信息变更及终止等。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二十四、如何通过电子税务局与税务机关进行交互？ 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答：纳税人可登录后通过选择“互动中心”，进入“在线交互”，同税务机关进行实时在线交互。 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二十五、如何通过电子税务局进行预约办税？</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预约”，或登录后通过选择“互动中心”并进入“预约办税”，进行预约办税。具体分为线下预约及线上预约。线下预约用于办税服务厅预约办税，服务事项类型包括税政政策咨询、业务办理辅导、预约排号服务等，纳税人可根据预约事项选择预约地点、预约时间等；线上预约用于电子税务局预约办税，服务事项类型包括在线辅导、在线座谈、在线约谈、在线培训等。</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二十六、如何通过电子税务局获取税务机关的各类通知公告？ 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答：纳税人无需注册登录，可通过选择“公众服务”，进入“通知公告”，获取税务机关发布的各类通知公告。 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电子税务局提供的通知公告主要包括政策法规通知公告、重大税收违法案件公告、信用级别A级纳税人公告以及欠税公告等。 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二十七、如何通过电子税务局查看税务机关发布的线上培训？</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答：纳税人无需注册登录，可通过选择“公众服务”，进入“咨询辅导”，再选择“纳税人学堂”，查看税务机关发布的线上培训计划。纳税人可在此功能下设置开课提醒，及时参与线上培训。 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二十八、如何通过电子税务局查看涉税政策及解读文件？</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答：纳税人无需注册登录，可通过选择“公众服务”，进入“咨询辅导”，再选择“税收政策及解读”，查看税务机关各类涉税政策及解读文件。 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二十九、纳税人在电子税务局中如找不到所需业务功能或不熟悉具体操作，如何处理？ 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答：纳税人无需注册登录，可通过选择“公众服务”，进入“咨询辅导”，再选择“操作规程”，查看电子税务局所提供的各类具体业务功能及操作流程。 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三十、如何查看疫情防控期间税务相关的热点问题？</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答：纳税人无需注册登录，可通过选择“公众服务”，进入“咨询辅导”，再选择“热点问题”，查看当前税务相关的热点问题。 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三十一、纳税人如何通过电子税务局上传、下载、打印自身的各类电子资料？ 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的信息”，进入“电子资料”，随时查阅、下载、打印自身通过电子税务局办税产生的相关电子资料。纳税人在办理涉税业务过程中，如需上传附报资料，电子税务局会智能关联纳税人过去已经提交或产生的电子资料，提示在电子资料库中已有的资料供纳税人选择；同时，对于需补充的电子资料，提供资料上传功能。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三十二、纳税人不去办税服务厅如何查询所申请的涉税事项的办理进度？ 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查询”，进入“办税进度及结果信息查询”，进行办税进度及结果查询。办税进度按状态分别显示为待提交、待受理、受理中、已退回、已作废、已完成等。其中，“待提交”表示涉税事项申请尚未提交或提交后撤回；“待受理”表示涉税事项申请已提交至税务机关，尚未受理；“受理中”表示涉税事项申请已被税务机关受理，尚未终审；“已退回”表示涉税事项申请不满足办理条件，税务机关不予受理或者退回纳税人补正资料；“已作废”表示涉税事项申请由纳税人主动作废，或由于税务机关因各种原因不能正常办结作废；“已完成”表示涉税事项申请满足办理条件，已完成办理。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三十三、纳税人不去办税服务厅如何查询发票信息？ 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答：纳税人可登录后通过选择“我要查询”，进入“发票信息查询”，选定开具日期起止、发票种类名称等条件，对已开具的发票信息进行查询，同时可对某一条或某几条发票信息进行导出或打印。 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三十四、纳税人如何通过电子税务局查询申报明细信息？ </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答：纳税人可登录后通过选择“我要查询”，进入“申报信息查询”，选择申报日期、税款所属日期、申报表类型等条件，查询相应时间的申报信息情况。同时，可进一步点击查看该张申报表及附列资料，并可进行打印或导出。 </w:t>
      </w:r>
    </w:p>
    <w:p>
      <w:pPr>
        <w:widowControl/>
        <w:shd w:val="clear" w:color="auto" w:fill="FFFFFF"/>
        <w:adjustRightInd w:val="0"/>
        <w:snapToGrid w:val="0"/>
        <w:spacing w:line="360" w:lineRule="auto"/>
        <w:ind w:firstLine="640" w:firstLineChars="200"/>
        <w:jc w:val="left"/>
        <w:outlineLvl w:val="0"/>
        <w:rPr>
          <w:rFonts w:ascii="仿宋" w:hAnsi="仿宋" w:eastAsia="仿宋" w:cs="宋体"/>
          <w:kern w:val="0"/>
          <w:sz w:val="32"/>
          <w:szCs w:val="32"/>
        </w:rPr>
      </w:pPr>
      <w:r>
        <w:rPr>
          <w:rFonts w:ascii="仿宋" w:hAnsi="仿宋" w:eastAsia="仿宋" w:cs="宋体"/>
          <w:kern w:val="0"/>
          <w:sz w:val="32"/>
          <w:szCs w:val="32"/>
        </w:rPr>
        <w:t>三十五、纳税人如何通过电子税务局查看税费缴纳情况？</w:t>
      </w:r>
    </w:p>
    <w:p>
      <w:pPr>
        <w:widowControl/>
        <w:adjustRightInd w:val="0"/>
        <w:snapToGrid w:val="0"/>
        <w:spacing w:line="360" w:lineRule="auto"/>
        <w:rPr>
          <w:rFonts w:ascii="仿宋" w:hAnsi="仿宋" w:eastAsia="仿宋" w:cs="Times New Roman"/>
          <w:kern w:val="0"/>
          <w:sz w:val="32"/>
          <w:szCs w:val="32"/>
        </w:rPr>
      </w:pPr>
      <w:r>
        <w:rPr>
          <w:rFonts w:ascii="仿宋" w:hAnsi="仿宋" w:eastAsia="仿宋" w:cs="宋体"/>
          <w:kern w:val="0"/>
          <w:sz w:val="32"/>
          <w:szCs w:val="32"/>
        </w:rPr>
        <w:t>答：纳税人可登录后通过选择“我要查询”，进入“缴款信息查询”或“欠税信息查询”，输入查询条件查询到具体缴款情况或欠税情况。如有欠税情况，可通过系统提供的“欠税缴纳”链接，跳转到相应税（费）种缴纳功能模块缴纳欠税。 </w:t>
      </w:r>
    </w:p>
    <w:p>
      <w:pPr>
        <w:pStyle w:val="263"/>
        <w:adjustRightInd w:val="0"/>
        <w:snapToGrid w:val="0"/>
        <w:spacing w:after="0" w:line="360" w:lineRule="auto"/>
        <w:outlineLvl w:val="0"/>
        <w:rPr>
          <w:rFonts w:ascii="仿宋" w:hAnsi="仿宋" w:eastAsia="仿宋"/>
          <w:color w:val="000000" w:themeColor="text1"/>
          <w:sz w:val="32"/>
          <w:szCs w:val="32"/>
        </w:rPr>
      </w:pPr>
      <w:bookmarkStart w:id="164" w:name="_Toc34141479"/>
      <w:r>
        <w:rPr>
          <w:rFonts w:hint="eastAsia" w:ascii="仿宋" w:hAnsi="仿宋" w:eastAsia="仿宋"/>
          <w:color w:val="000000" w:themeColor="text1"/>
          <w:sz w:val="32"/>
          <w:szCs w:val="32"/>
        </w:rPr>
        <w:t>（二十）广西壮族自治区</w:t>
      </w:r>
      <w:bookmarkEnd w:id="164"/>
    </w:p>
    <w:p>
      <w:pPr>
        <w:pStyle w:val="5"/>
        <w:adjustRightInd w:val="0"/>
        <w:snapToGrid w:val="0"/>
        <w:spacing w:before="0" w:after="0" w:line="360" w:lineRule="auto"/>
        <w:jc w:val="center"/>
        <w:rPr>
          <w:rFonts w:ascii="仿宋" w:hAnsi="仿宋" w:eastAsia="仿宋" w:cs="Times New Roman"/>
          <w:kern w:val="0"/>
        </w:rPr>
      </w:pPr>
      <w:bookmarkStart w:id="165" w:name="_Toc33451086"/>
      <w:bookmarkStart w:id="166" w:name="_Toc34141480"/>
      <w:r>
        <w:rPr>
          <w:rFonts w:hint="eastAsia" w:ascii="仿宋" w:hAnsi="仿宋" w:eastAsia="仿宋" w:cs="Times New Roman"/>
          <w:kern w:val="0"/>
        </w:rPr>
        <w:t>广西壮族自治区财政厅　国家税务总局广西壮族自治区税务局关于进一步明确生产经营防疫物资企业免征企业所得税地方分享部分政策的通知</w:t>
      </w:r>
      <w:bookmarkEnd w:id="165"/>
      <w:r>
        <w:rPr>
          <w:rFonts w:ascii="仿宋" w:hAnsi="仿宋" w:eastAsia="仿宋"/>
          <w:bCs w:val="0"/>
          <w:color w:val="000000" w:themeColor="text1"/>
        </w:rPr>
        <w:br w:type="textWrapping"/>
      </w:r>
      <w:r>
        <w:rPr>
          <w:rFonts w:hint="eastAsia" w:ascii="仿宋" w:hAnsi="仿宋" w:eastAsia="仿宋" w:cs="Times New Roman"/>
          <w:kern w:val="0"/>
        </w:rPr>
        <w:t>（桂财税〔2020〕3号）</w:t>
      </w:r>
      <w:bookmarkEnd w:id="166"/>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各市、县财政局、税务局：</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落实自治区政府办公厅印发的《关于支持打赢疫情防控阻击战促进经济平稳运行的若干措施》（桂政办发〔2020〕6号，以下简称《若干措施》），助力我区打赢疫情防控阻击战，现就《若干措施》第七条第（二十五）项的免征企业所得税地方分享部分政策进一步明确如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一、自2020年1月1日至2020年6月30日，对自治区内生产经营疫情防控物资企业，以生产经营疫情防控物资为主营业务且主营业务收入占企业收入总额50%（含）以上的，免征企业所得税地方分享部分。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二、对自治区内不符合上述规定的生产经营疫情防控物资企业，自2020年1月1日至2020年6月30日，按其生产经营疫情防控物资取得的收入占其收入总额的比例，减征企业所得税地方分享部分。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三、生产经营疫情防控物资企业是指从事疫情防控物资生产的企业。</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以上企业同时符合自治区出台的其他减免企业所得税地方分享部分政策规定的，可选择按最优惠政策执行。</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广西壮族自治区财政厅</w:t>
      </w:r>
      <w:r>
        <w:rPr>
          <w:rFonts w:ascii="Calibri" w:hAnsi="Calibri" w:eastAsia="仿宋" w:cs="Calibri"/>
          <w:kern w:val="0"/>
          <w:sz w:val="32"/>
          <w:szCs w:val="32"/>
        </w:rPr>
        <w:t>  </w:t>
      </w:r>
      <w:r>
        <w:rPr>
          <w:rFonts w:hint="eastAsia" w:ascii="仿宋" w:hAnsi="仿宋" w:eastAsia="仿宋" w:cs="Times New Roman"/>
          <w:kern w:val="0"/>
          <w:sz w:val="32"/>
          <w:szCs w:val="32"/>
        </w:rPr>
        <w:t xml:space="preserve"> 国家税务总局广西壮族自治区税务局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2020年2月13日</w:t>
      </w:r>
    </w:p>
    <w:p>
      <w:pPr>
        <w:widowControl/>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67" w:name="_Toc34141481"/>
      <w:r>
        <w:rPr>
          <w:rFonts w:hint="eastAsia" w:ascii="仿宋" w:hAnsi="仿宋" w:eastAsia="仿宋"/>
          <w:color w:val="000000" w:themeColor="text1"/>
          <w:sz w:val="32"/>
          <w:szCs w:val="32"/>
        </w:rPr>
        <w:t>（二十一）海南省</w:t>
      </w:r>
      <w:bookmarkEnd w:id="167"/>
    </w:p>
    <w:p>
      <w:pPr>
        <w:keepNext/>
        <w:keepLines/>
        <w:adjustRightInd w:val="0"/>
        <w:snapToGrid w:val="0"/>
        <w:spacing w:line="360" w:lineRule="auto"/>
        <w:jc w:val="center"/>
        <w:outlineLvl w:val="2"/>
        <w:rPr>
          <w:rFonts w:ascii="仿宋" w:hAnsi="仿宋" w:eastAsia="仿宋" w:cs="Times New Roman"/>
          <w:b/>
          <w:bCs/>
          <w:kern w:val="0"/>
          <w:sz w:val="32"/>
          <w:szCs w:val="32"/>
        </w:rPr>
      </w:pPr>
      <w:bookmarkStart w:id="168" w:name="_Toc34141482"/>
      <w:bookmarkStart w:id="169" w:name="_Toc33451108"/>
      <w:r>
        <w:rPr>
          <w:rFonts w:hint="eastAsia" w:ascii="仿宋" w:hAnsi="仿宋" w:eastAsia="仿宋" w:cs="Times New Roman"/>
          <w:b/>
          <w:bCs/>
          <w:kern w:val="0"/>
          <w:sz w:val="32"/>
          <w:szCs w:val="32"/>
        </w:rPr>
        <w:t>国家税务总局海南省税务局关于暂时关闭电子税务局社保费申报功能的温馨提示</w:t>
      </w:r>
      <w:bookmarkEnd w:id="168"/>
      <w:bookmarkEnd w:id="169"/>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尊敬的缴费人：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为更好地落实国务院关于阶段性减免企业社保费的有关精神，海南省电子税务局将暂时关闭社保费申报功能，避免政策过渡期间企业误操作缴费造成后续退费不便，待具体实施办法明确及系统完善后再开放。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给您带来的不便，敬请谅解。</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keepNext/>
        <w:keepLines/>
        <w:adjustRightInd w:val="0"/>
        <w:snapToGrid w:val="0"/>
        <w:spacing w:line="360" w:lineRule="auto"/>
        <w:ind w:firstLine="643" w:firstLineChars="200"/>
        <w:jc w:val="center"/>
        <w:outlineLvl w:val="2"/>
        <w:rPr>
          <w:rFonts w:ascii="仿宋" w:hAnsi="仿宋" w:eastAsia="仿宋" w:cs="Times New Roman"/>
          <w:b/>
          <w:bCs/>
          <w:kern w:val="0"/>
          <w:sz w:val="32"/>
          <w:szCs w:val="32"/>
        </w:rPr>
      </w:pPr>
      <w:bookmarkStart w:id="170" w:name="_Toc34141483"/>
      <w:bookmarkStart w:id="171" w:name="_Toc33451109"/>
      <w:r>
        <w:rPr>
          <w:rFonts w:hint="eastAsia" w:ascii="仿宋" w:hAnsi="仿宋" w:eastAsia="仿宋" w:cs="Times New Roman"/>
          <w:b/>
          <w:bCs/>
          <w:kern w:val="0"/>
          <w:sz w:val="32"/>
          <w:szCs w:val="32"/>
        </w:rPr>
        <w:t>国家税务总局海南省税务局抗击疫情税费政策汇编</w:t>
      </w:r>
      <w:bookmarkEnd w:id="170"/>
      <w:bookmarkEnd w:id="171"/>
    </w:p>
    <w:p>
      <w:pPr>
        <w:widowControl/>
        <w:adjustRightInd w:val="0"/>
        <w:snapToGrid w:val="0"/>
        <w:spacing w:line="360" w:lineRule="auto"/>
        <w:ind w:firstLine="640" w:firstLineChars="200"/>
        <w:jc w:val="left"/>
        <w:rPr>
          <w:rStyle w:val="222"/>
          <w:rFonts w:ascii="仿宋" w:hAnsi="仿宋" w:eastAsia="仿宋" w:cs="Times New Roman"/>
          <w:color w:val="auto"/>
          <w:kern w:val="0"/>
          <w:sz w:val="32"/>
          <w:szCs w:val="32"/>
        </w:rPr>
      </w:pPr>
      <w:r>
        <w:rPr>
          <w:rFonts w:hint="eastAsia" w:ascii="仿宋" w:hAnsi="仿宋" w:eastAsia="仿宋" w:cs="Times New Roman"/>
          <w:kern w:val="0"/>
          <w:sz w:val="32"/>
          <w:szCs w:val="32"/>
        </w:rPr>
        <w:fldChar w:fldCharType="begin"/>
      </w:r>
      <w:r>
        <w:rPr>
          <w:rFonts w:hint="eastAsia" w:ascii="仿宋" w:hAnsi="仿宋" w:eastAsia="仿宋" w:cs="Times New Roman"/>
          <w:kern w:val="0"/>
          <w:sz w:val="32"/>
          <w:szCs w:val="32"/>
        </w:rPr>
        <w:instrText xml:space="preserve"> HYPERLINK "http://hainan.chinatax.gov.cn/u/cms/www/202002/131703196hlh.doc" </w:instrText>
      </w:r>
      <w:r>
        <w:rPr>
          <w:rFonts w:hint="eastAsia" w:ascii="仿宋" w:hAnsi="仿宋" w:eastAsia="仿宋" w:cs="Times New Roman"/>
          <w:kern w:val="0"/>
          <w:sz w:val="32"/>
          <w:szCs w:val="32"/>
        </w:rPr>
        <w:fldChar w:fldCharType="separate"/>
      </w:r>
      <w:r>
        <w:rPr>
          <w:rStyle w:val="222"/>
          <w:rFonts w:hint="eastAsia" w:ascii="仿宋" w:hAnsi="仿宋" w:eastAsia="仿宋" w:cs="Times New Roman"/>
          <w:color w:val="auto"/>
          <w:kern w:val="0"/>
          <w:sz w:val="32"/>
          <w:szCs w:val="32"/>
        </w:rPr>
        <w:t>抗击疫情税费政策汇编.doc</w:t>
      </w:r>
    </w:p>
    <w:p>
      <w:pPr>
        <w:widowControl/>
        <w:adjustRightInd w:val="0"/>
        <w:snapToGrid w:val="0"/>
        <w:spacing w:line="360" w:lineRule="auto"/>
        <w:ind w:firstLine="640" w:firstLineChars="200"/>
        <w:jc w:val="left"/>
        <w:rPr>
          <w:rStyle w:val="222"/>
          <w:rFonts w:ascii="仿宋" w:hAnsi="仿宋" w:eastAsia="仿宋" w:cs="Times New Roman"/>
          <w:color w:val="auto"/>
          <w:kern w:val="0"/>
          <w:sz w:val="32"/>
          <w:szCs w:val="32"/>
        </w:rPr>
      </w:pP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fldChar w:fldCharType="begin"/>
      </w:r>
      <w:r>
        <w:rPr>
          <w:rFonts w:hint="eastAsia" w:ascii="仿宋" w:hAnsi="仿宋" w:eastAsia="仿宋" w:cs="Times New Roman"/>
          <w:kern w:val="0"/>
          <w:sz w:val="32"/>
          <w:szCs w:val="32"/>
        </w:rPr>
        <w:instrText xml:space="preserve"> HYPERLINK "http://hainan.chinatax.gov.cn/u/cms/www/202002/13170319fiq7.doc" </w:instrText>
      </w:r>
      <w:r>
        <w:rPr>
          <w:rFonts w:hint="eastAsia" w:ascii="仿宋" w:hAnsi="仿宋" w:eastAsia="仿宋" w:cs="Times New Roman"/>
          <w:kern w:val="0"/>
          <w:sz w:val="32"/>
          <w:szCs w:val="32"/>
        </w:rPr>
        <w:fldChar w:fldCharType="separate"/>
      </w:r>
      <w:r>
        <w:rPr>
          <w:rStyle w:val="222"/>
          <w:rFonts w:hint="eastAsia" w:ascii="仿宋" w:hAnsi="仿宋" w:eastAsia="仿宋" w:cs="Times New Roman"/>
          <w:color w:val="auto"/>
          <w:kern w:val="0"/>
          <w:sz w:val="32"/>
          <w:szCs w:val="32"/>
        </w:rPr>
        <w:t>抗击疫情税费政策解读.doc</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fldChar w:fldCharType="end"/>
      </w: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72" w:name="_Toc34141484"/>
      <w:r>
        <w:rPr>
          <w:rFonts w:hint="eastAsia" w:ascii="仿宋" w:hAnsi="仿宋" w:eastAsia="仿宋"/>
          <w:color w:val="000000" w:themeColor="text1"/>
          <w:sz w:val="32"/>
          <w:szCs w:val="32"/>
        </w:rPr>
        <w:t>（二十二）重庆市</w:t>
      </w:r>
      <w:bookmarkEnd w:id="172"/>
    </w:p>
    <w:p>
      <w:pPr>
        <w:pStyle w:val="5"/>
        <w:adjustRightInd w:val="0"/>
        <w:snapToGrid w:val="0"/>
        <w:spacing w:before="0" w:after="0" w:line="360" w:lineRule="auto"/>
        <w:ind w:firstLine="643" w:firstLineChars="200"/>
        <w:jc w:val="center"/>
        <w:rPr>
          <w:rFonts w:ascii="仿宋" w:hAnsi="仿宋" w:eastAsia="仿宋" w:cs="Times New Roman"/>
          <w:kern w:val="0"/>
        </w:rPr>
      </w:pPr>
      <w:bookmarkStart w:id="173" w:name="_Toc34141485"/>
      <w:bookmarkStart w:id="174" w:name="_Toc33451068"/>
      <w:r>
        <w:rPr>
          <w:rFonts w:hint="eastAsia" w:ascii="仿宋" w:hAnsi="仿宋" w:eastAsia="仿宋" w:cs="Times New Roman"/>
          <w:kern w:val="0"/>
        </w:rPr>
        <w:t>国家税务总局重庆市税务局关于电子发票服务平台接入验证工作的通告</w:t>
      </w:r>
      <w:bookmarkEnd w:id="173"/>
      <w:bookmarkEnd w:id="174"/>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通告明确企业自建和第三方电子发票服务平台（以下简称“电子发票服务平台”）选择新版税控服务器作为开票设备的接入验证工作。电子发票服务平台在正式运营时，可自主选择新版税控服务器或原有税控设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 电子发票服务平台厂商准备工作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（二）税务机关审核电子发票服务平台厂商提交的验证申请信息，将测试用平台UKe和测试用税务UKey邮寄至平台方提供的收件地址，将验证方法和工具发送到平台方指定邮箱。</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（六）电子发票服务平台厂商将待验证信息（包括：已上传发票的发票代码、号码、开票日期以及本张发票对应的版式文件）提交至邮箱（地址：dzfptax@163.com）。</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重庆市税务局增值税发票管理系统（2.0版）生产环境正式接入（地址：fpkj.chongqing.chinatax.gov.cn:555）</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附件：增值税电子发票服务平台安全管理保证书</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国家税务总局重庆市税务局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widowControl/>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增值税电子发票服务平台安全管理保证书</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联系电话：</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邮箱地址：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法人代表签名：</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XX公司（电子发票服务平台所有者）（签章）</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年 月 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75" w:name="_Toc34141486"/>
      <w:r>
        <w:rPr>
          <w:rFonts w:hint="eastAsia" w:ascii="仿宋" w:hAnsi="仿宋" w:eastAsia="仿宋"/>
          <w:color w:val="000000" w:themeColor="text1"/>
          <w:sz w:val="32"/>
          <w:szCs w:val="32"/>
        </w:rPr>
        <w:t>（二十三）四川省</w:t>
      </w:r>
      <w:bookmarkEnd w:id="175"/>
    </w:p>
    <w:p>
      <w:pPr>
        <w:pStyle w:val="5"/>
        <w:adjustRightInd w:val="0"/>
        <w:snapToGrid w:val="0"/>
        <w:spacing w:before="0" w:after="0" w:line="360" w:lineRule="auto"/>
        <w:jc w:val="center"/>
        <w:rPr>
          <w:rFonts w:ascii="仿宋" w:hAnsi="仿宋" w:eastAsia="仿宋" w:cs="Times New Roman"/>
          <w:kern w:val="0"/>
        </w:rPr>
      </w:pPr>
      <w:bookmarkStart w:id="176" w:name="_Toc34141487"/>
      <w:bookmarkStart w:id="177" w:name="_Toc33451072"/>
      <w:r>
        <w:rPr>
          <w:rFonts w:hint="eastAsia" w:ascii="仿宋" w:hAnsi="仿宋" w:eastAsia="仿宋" w:cs="Times New Roman"/>
          <w:kern w:val="0"/>
        </w:rPr>
        <w:t>国家税务总局四川省税务局关于全省新冠肺炎疫情防控期间非接触式”办税缴费有关事宜的通告</w:t>
      </w:r>
      <w:bookmarkEnd w:id="176"/>
      <w:bookmarkEnd w:id="177"/>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的一系列重要指示批示精神，全面落实党中央、国务院工作部署，近期，国家税务总局发布了“非接触式”网上办税缴费清单，明确了185个“非接触式”办理的涉税缴费事项及具体办理有关事宜，包括166个全程网上办事项和19个线上线下融合办理事项。按照“尽可能网上办”的原则，全面落实税务总局和省委省政府的要求，结合我省实际，我局梳理了197个“非接触式”网上办税缴费事项（不含税务总局清单中4项我省不涉及业务事项、2项属政策调整不再发生业务事项），在税务总局清单的基础上新增了18个全程网上办事项，包括178个全程网上办事项和19个线上线下融合办理事项，并对上述197个事项及16个线上预约线下办理事项、28个线下延期办理事项的具体办理事宜进行了明确。现将有关事项通告如下。</w:t>
      </w:r>
      <w:r>
        <w:rPr>
          <w:rFonts w:ascii="Calibri" w:hAnsi="Calibri" w:eastAsia="仿宋" w:cs="Calibri"/>
          <w:kern w:val="0"/>
          <w:sz w:val="32"/>
          <w:szCs w:val="32"/>
        </w:rPr>
        <w:t>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一、全程网上办清单中的事项，请尽可能在网上办理。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全程网上办清单共178个事项（详见附件1），请纳税人、缴费人通过四川省电子税务局全程在网上办理。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若无法成功办理，可通过电话联系所属主管税务机关办税服务厅，或通过微信、QQ群、在线交互等方式获得帮助。纳税人、缴费人可通过四川省电子税务局首页右上角的“帮助”模块或直接点击链接（</w:t>
      </w:r>
      <w:r>
        <w:fldChar w:fldCharType="begin"/>
      </w:r>
      <w:r>
        <w:instrText xml:space="preserve"> HYPERLINK "https://etax.sichuan.chinatax.gov.cn/bszm-web/apps/views/beforeLogin/bzzx/bzzx.html" \t "http://sichuan.chinatax.gov.cn/art/2020/2/19/_self" </w:instrText>
      </w:r>
      <w:r>
        <w:fldChar w:fldCharType="separate"/>
      </w:r>
      <w:r>
        <w:rPr>
          <w:rFonts w:hint="eastAsia" w:ascii="仿宋" w:hAnsi="仿宋" w:eastAsia="仿宋" w:cs="Times New Roman"/>
          <w:kern w:val="0"/>
          <w:sz w:val="32"/>
          <w:szCs w:val="32"/>
        </w:rPr>
        <w:t>https://etax.sichuan.chinatax.gov.cn/bszm-web/apps/views/beforeLogin/bzzx/bzzx.html</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），查询所属主管税务机关办税厅联系电话等信息。</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二、线上线下融合办清单中的事项，请在线上申请办理。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线上线下融合办清单共19个事项（详见附件2），纳税人、缴费人需通过四川省电子税务局在线申请办理。对需出具的纸质文书或证照，税务机关将通过邮寄方式送达。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需要发放纸质发票的业务事项，如“发票领用、代开增值税专用发票、代开增值税普通发票”等，税务机关将采取线上受理线下邮寄的方式办理。3月31日24：00前，四川省纳税人通过网上申请办理发票寄递业务免收邮寄费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对需要实地调查巡查的业务事项，如“合并分立报告、一照一码户清税申报、两证整合个体工商户清税申报、注销税务登记”等，税务机关将暂缓实地调查巡查。纳税人需将纸质资料做好留存备查，待疫情结束后，税务机关将根据实际案头分析情况，通知纳税人补交相关材料或重新启动实地调查巡查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三、线上预约线下办清单中的事项，请在线上预约后错峰办理。</w:t>
      </w:r>
      <w:r>
        <w:rPr>
          <w:rFonts w:ascii="Calibri" w:hAnsi="Calibri" w:eastAsia="仿宋" w:cs="Calibri"/>
          <w:kern w:val="0"/>
          <w:sz w:val="32"/>
          <w:szCs w:val="32"/>
        </w:rPr>
        <w:t>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线下预约办清单共16个事项（详见附件3），涉及纳税人、缴费人重大权益或确需到办税服务厅办理的业务事项，如“增值税税控系统专用设备发行、发票退票”等。纳税人、缴费人请通过四川省电子税务局“我要预约”或当地税务机关提供的其他预约办税渠道进行预约，税务机关将根据纳税人、缴费人预约情况，分时分批错峰办理，降低疫情传播风险。</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四、线下延期办清单中的事项，请延期到疫情防控期结束后办理。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线下延期办清单共28个事项（详见附件4），业务过程中需税企双方频繁交互，如“复议听证、和解处理”等。考虑疫情传播风险，请延期到疫情防控期结束后办理。</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温馨提示：纳税人和缴费人在电子税务局办理业务时相关操作可参阅四川省电子税务局操作手册（下载地址: </w:t>
      </w:r>
      <w:r>
        <w:fldChar w:fldCharType="begin"/>
      </w:r>
      <w:r>
        <w:instrText xml:space="preserve"> HYPERLINK "https://etax.sichuan.chinatax.gov.cn/bszm-web/apps/views/beforeLogin/bzzx/bzzx.html" \t "http://sichuan.chinatax.gov.cn/art/2020/2/19/_self" </w:instrText>
      </w:r>
      <w:r>
        <w:fldChar w:fldCharType="separate"/>
      </w:r>
      <w:r>
        <w:rPr>
          <w:rFonts w:hint="eastAsia" w:ascii="仿宋" w:hAnsi="仿宋" w:eastAsia="仿宋" w:cs="Times New Roman"/>
          <w:kern w:val="0"/>
          <w:sz w:val="32"/>
          <w:szCs w:val="32"/>
        </w:rPr>
        <w:t>https://etax.sichuan.chinatax.gov.cn/bszm-web/apps/views/beforeLogin/bzzx/bzzx.html</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，点击“下载操作手册”），或拨打12366热线进行咨询。</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w:t>
      </w:r>
      <w:r>
        <w:fldChar w:fldCharType="begin"/>
      </w:r>
      <w:r>
        <w:instrText xml:space="preserve"> HYPERLINK "http://sichuan.chinatax.gov.cn/module/download/downfile.jsp?classid=0&amp;filename=496b4e180a08490499c9f03884d91c29.xlsx" </w:instrText>
      </w:r>
      <w:r>
        <w:fldChar w:fldCharType="separate"/>
      </w:r>
      <w:r>
        <w:rPr>
          <w:rStyle w:val="222"/>
          <w:rFonts w:hint="eastAsia" w:ascii="仿宋" w:hAnsi="仿宋" w:eastAsia="仿宋" w:cs="Times New Roman"/>
          <w:color w:val="auto"/>
          <w:kern w:val="0"/>
          <w:sz w:val="32"/>
          <w:szCs w:val="32"/>
        </w:rPr>
        <w:t>全程网上办清单.xlsx</w:t>
      </w:r>
      <w:r>
        <w:rPr>
          <w:rStyle w:val="222"/>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w:t>
      </w:r>
      <w:r>
        <w:fldChar w:fldCharType="begin"/>
      </w:r>
      <w:r>
        <w:instrText xml:space="preserve"> HYPERLINK "http://sichuan.chinatax.gov.cn/module/download/downfile.jsp?classid=0&amp;filename=c97a946a558640ecb2524219f35546ff.xlsx" </w:instrText>
      </w:r>
      <w:r>
        <w:fldChar w:fldCharType="separate"/>
      </w:r>
      <w:r>
        <w:rPr>
          <w:rStyle w:val="222"/>
          <w:rFonts w:hint="eastAsia" w:ascii="仿宋" w:hAnsi="仿宋" w:eastAsia="仿宋" w:cs="Times New Roman"/>
          <w:color w:val="auto"/>
          <w:kern w:val="0"/>
          <w:sz w:val="32"/>
          <w:szCs w:val="32"/>
        </w:rPr>
        <w:t>线上线下融合办清单.xlsx</w:t>
      </w:r>
      <w:r>
        <w:rPr>
          <w:rStyle w:val="222"/>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w:t>
      </w:r>
      <w:r>
        <w:fldChar w:fldCharType="begin"/>
      </w:r>
      <w:r>
        <w:instrText xml:space="preserve"> HYPERLINK "http://sichuan.chinatax.gov.cn/module/download/downfile.jsp?classid=0&amp;filename=4f2fb68accc044e9b3f69ea4ca99e494.xlsx" </w:instrText>
      </w:r>
      <w:r>
        <w:fldChar w:fldCharType="separate"/>
      </w:r>
      <w:r>
        <w:rPr>
          <w:rStyle w:val="222"/>
          <w:rFonts w:hint="eastAsia" w:ascii="仿宋" w:hAnsi="仿宋" w:eastAsia="仿宋" w:cs="Times New Roman"/>
          <w:color w:val="auto"/>
          <w:kern w:val="0"/>
          <w:sz w:val="32"/>
          <w:szCs w:val="32"/>
        </w:rPr>
        <w:t>线上预约线下办清单.xlsx</w:t>
      </w:r>
      <w:r>
        <w:rPr>
          <w:rStyle w:val="222"/>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jc w:val="left"/>
        <w:rPr>
          <w:rStyle w:val="222"/>
          <w:rFonts w:ascii="仿宋" w:hAnsi="仿宋" w:eastAsia="仿宋" w:cs="Times New Roman"/>
          <w:color w:val="auto"/>
          <w:kern w:val="0"/>
          <w:sz w:val="32"/>
          <w:szCs w:val="32"/>
        </w:rPr>
      </w:pPr>
      <w:r>
        <w:rPr>
          <w:rFonts w:hint="eastAsia" w:ascii="仿宋" w:hAnsi="仿宋" w:eastAsia="仿宋" w:cs="Times New Roman"/>
          <w:kern w:val="0"/>
          <w:sz w:val="32"/>
          <w:szCs w:val="32"/>
        </w:rPr>
        <w:t>4.</w:t>
      </w:r>
      <w:r>
        <w:rPr>
          <w:rFonts w:hint="eastAsia" w:ascii="仿宋" w:hAnsi="仿宋" w:eastAsia="仿宋" w:cs="Times New Roman"/>
          <w:kern w:val="0"/>
          <w:sz w:val="32"/>
          <w:szCs w:val="32"/>
        </w:rPr>
        <w:fldChar w:fldCharType="begin"/>
      </w:r>
      <w:r>
        <w:rPr>
          <w:rFonts w:hint="eastAsia" w:ascii="仿宋" w:hAnsi="仿宋" w:eastAsia="仿宋" w:cs="Times New Roman"/>
          <w:kern w:val="0"/>
          <w:sz w:val="32"/>
          <w:szCs w:val="32"/>
        </w:rPr>
        <w:instrText xml:space="preserve"> HYPERLINK "http://sichuan.chinatax.gov.cn/module/download/downfile.jsp?classid=0&amp;filename=1ffc0ec203734f00ac763e2a2f8c0eb7.xlsx" </w:instrText>
      </w:r>
      <w:r>
        <w:rPr>
          <w:rFonts w:hint="eastAsia" w:ascii="仿宋" w:hAnsi="仿宋" w:eastAsia="仿宋" w:cs="Times New Roman"/>
          <w:kern w:val="0"/>
          <w:sz w:val="32"/>
          <w:szCs w:val="32"/>
        </w:rPr>
        <w:fldChar w:fldCharType="separate"/>
      </w:r>
      <w:r>
        <w:rPr>
          <w:rStyle w:val="222"/>
          <w:rFonts w:hint="eastAsia" w:ascii="仿宋" w:hAnsi="仿宋" w:eastAsia="仿宋" w:cs="Times New Roman"/>
          <w:color w:val="auto"/>
          <w:kern w:val="0"/>
          <w:sz w:val="32"/>
          <w:szCs w:val="32"/>
        </w:rPr>
        <w:t>线下延期办清单.xlsx</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国家税务总局四川省税务局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2020年2月19日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78" w:name="_Toc34141488"/>
      <w:bookmarkStart w:id="179" w:name="_Toc33451073"/>
      <w:r>
        <w:rPr>
          <w:rFonts w:hint="eastAsia" w:ascii="仿宋" w:hAnsi="仿宋" w:eastAsia="仿宋" w:cs="Times New Roman"/>
          <w:kern w:val="0"/>
        </w:rPr>
        <w:t>国家税务总局四川省税务局关于做好支持新型冠状病毒感染的肺炎疫情防控有关税收征管工作事宜的通知</w:t>
      </w:r>
      <w:bookmarkEnd w:id="178"/>
      <w:bookmarkEnd w:id="179"/>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国家税务总局各市、州税务局，局内各单位：</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为深入贯彻落实党中央国务院和税务总局、省委省政府关于疫情防控工作的部署要求，现就做好支持疫情防控有关税收征管工作事宜通知如下。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对受疫情影响生产经营发生严重困难的企业特别是小微企业，可依法申请延期缴纳税款。疫情防控期间，纳税人在申请当日不能提供截止之日所有银行存款账户对账单（含电子对账单）的，可提供银行账户余额截屏图，待疫情得到控制或结束后20个工作日内向主管税务机关补报。对符合《财政部 发展改革委 工业信息化部 人民银行 审计署关于打赢疫情防控重点保障企业资金支持的紧急通知》（财金〔2020〕5号）明确的疫情防控重点保障企业条件的，税务机关优先核准延期缴纳税款。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二、采取定期定额征收的个体工商户因生产经营受疫情影响较严重的，可通过国家税务总局四川省电子税务局提出定额调整申请，税务机关应及时进行调整。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三、实行定期定额征收的个体工商户如因受疫情影响而停业的，可通过国家税务总局四川省电子税务局全程网上办理停业登记和复业登记。</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四、税务机关办理延期申报、延期缴纳税款和定期定额调整等事项，需要到纳税人生产经营所在地进行现场调查核实的，经本级税务机关负责人确认，延至疫情得到控制或结束后开展。</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全省各级税务机关要高度重视，按照税务总局、省局要求和地方党委、政府安排，积极采取各项征管措施，优化办税方式，保障纳税人合法权益，为打赢防疫攻坚战贡献力量。</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国家税务总局四川省税务局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80" w:name="_Toc34141489"/>
      <w:bookmarkStart w:id="181" w:name="_Toc33451074"/>
      <w:r>
        <w:rPr>
          <w:rFonts w:hint="eastAsia" w:ascii="仿宋" w:hAnsi="仿宋" w:eastAsia="仿宋" w:cs="Times New Roman"/>
          <w:kern w:val="0"/>
        </w:rPr>
        <w:t>国家税务总局四川省税务局疫情防控，社保缴费升级第三波：微信公众号缴费可用微信支付</w:t>
      </w:r>
      <w:bookmarkEnd w:id="180"/>
      <w:bookmarkEnd w:id="181"/>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相关内容请点击链接查看：</w:t>
      </w:r>
    </w:p>
    <w:p>
      <w:pPr>
        <w:widowControl/>
        <w:adjustRightInd w:val="0"/>
        <w:snapToGrid w:val="0"/>
        <w:spacing w:line="360" w:lineRule="auto"/>
        <w:ind w:firstLine="420" w:firstLineChars="200"/>
        <w:jc w:val="left"/>
        <w:rPr>
          <w:rStyle w:val="215"/>
          <w:rFonts w:ascii="仿宋" w:hAnsi="仿宋" w:eastAsia="仿宋" w:cs="Times New Roman"/>
          <w:color w:val="auto"/>
          <w:kern w:val="0"/>
          <w:sz w:val="32"/>
          <w:szCs w:val="32"/>
        </w:rPr>
      </w:pPr>
      <w:r>
        <w:fldChar w:fldCharType="begin"/>
      </w:r>
      <w:r>
        <w:instrText xml:space="preserve"> HYPERLINK "https://mp.weixin.qq.com/s/pPOugK_EDqSHSDxWGM3LVQ" </w:instrText>
      </w:r>
      <w:r>
        <w:fldChar w:fldCharType="separate"/>
      </w:r>
      <w:r>
        <w:rPr>
          <w:rStyle w:val="215"/>
          <w:rFonts w:hint="eastAsia" w:ascii="仿宋" w:hAnsi="仿宋" w:eastAsia="仿宋" w:cs="Times New Roman"/>
          <w:color w:val="auto"/>
          <w:kern w:val="0"/>
          <w:sz w:val="32"/>
          <w:szCs w:val="32"/>
        </w:rPr>
        <w:t>https://mp.weixin.qq.com/s/pPOugK_EDqSHSDxWGM3LVQ</w:t>
      </w:r>
      <w:r>
        <w:rPr>
          <w:rStyle w:val="215"/>
          <w:rFonts w:hint="eastAsia" w:ascii="仿宋" w:hAnsi="仿宋" w:eastAsia="仿宋" w:cs="Times New Roman"/>
          <w:color w:val="auto"/>
          <w:kern w:val="0"/>
          <w:sz w:val="32"/>
          <w:szCs w:val="32"/>
        </w:rPr>
        <w:fldChar w:fldCharType="end"/>
      </w:r>
    </w:p>
    <w:p>
      <w:pPr>
        <w:widowControl/>
        <w:adjustRightInd w:val="0"/>
        <w:snapToGrid w:val="0"/>
        <w:spacing w:line="360" w:lineRule="auto"/>
        <w:ind w:firstLine="640" w:firstLineChars="200"/>
        <w:jc w:val="left"/>
        <w:rPr>
          <w:rStyle w:val="215"/>
          <w:rFonts w:ascii="仿宋" w:hAnsi="仿宋" w:eastAsia="仿宋" w:cs="Times New Roman"/>
          <w:color w:val="auto"/>
          <w:kern w:val="0"/>
          <w:sz w:val="32"/>
          <w:szCs w:val="32"/>
        </w:rPr>
      </w:pPr>
    </w:p>
    <w:p>
      <w:pPr>
        <w:widowControl/>
        <w:spacing w:line="675" w:lineRule="atLeast"/>
        <w:jc w:val="center"/>
        <w:outlineLvl w:val="1"/>
        <w:rPr>
          <w:rFonts w:ascii="仿宋" w:hAnsi="仿宋" w:eastAsia="仿宋" w:cs="宋体"/>
          <w:b/>
          <w:bCs/>
          <w:color w:val="333333"/>
          <w:kern w:val="0"/>
          <w:sz w:val="32"/>
          <w:szCs w:val="32"/>
        </w:rPr>
      </w:pPr>
      <w:bookmarkStart w:id="182" w:name="_Toc34127472"/>
      <w:r>
        <w:rPr>
          <w:rFonts w:hint="eastAsia" w:ascii="仿宋" w:hAnsi="仿宋" w:eastAsia="仿宋" w:cs="宋体"/>
          <w:b/>
          <w:bCs/>
          <w:color w:val="333333"/>
          <w:kern w:val="0"/>
          <w:sz w:val="32"/>
          <w:szCs w:val="32"/>
        </w:rPr>
        <w:t xml:space="preserve">    </w:t>
      </w:r>
      <w:bookmarkStart w:id="183" w:name="_Toc34141490"/>
      <w:r>
        <w:rPr>
          <w:rFonts w:hint="eastAsia" w:ascii="仿宋" w:hAnsi="仿宋" w:eastAsia="仿宋" w:cs="宋体"/>
          <w:b/>
          <w:bCs/>
          <w:color w:val="333333"/>
          <w:kern w:val="0"/>
          <w:sz w:val="32"/>
          <w:szCs w:val="32"/>
        </w:rPr>
        <w:t>国家税务总局四川省税务局</w:t>
      </w:r>
      <w:r>
        <w:rPr>
          <w:rFonts w:hint="eastAsia" w:ascii="仿宋" w:hAnsi="仿宋" w:eastAsia="仿宋" w:cs="宋体"/>
          <w:b/>
          <w:bCs/>
          <w:color w:val="333333"/>
          <w:kern w:val="0"/>
          <w:sz w:val="32"/>
          <w:szCs w:val="32"/>
        </w:rPr>
        <w:br w:type="textWrapping"/>
      </w:r>
      <w:r>
        <w:rPr>
          <w:rFonts w:hint="eastAsia" w:ascii="仿宋" w:hAnsi="仿宋" w:eastAsia="仿宋" w:cs="宋体"/>
          <w:b/>
          <w:bCs/>
          <w:color w:val="333333"/>
          <w:kern w:val="0"/>
          <w:sz w:val="32"/>
          <w:szCs w:val="32"/>
        </w:rPr>
        <w:t>中国银行保险监督管理委员会四川监管局关于落实应对新型冠状病毒肺炎疫情有关车船税政策的公告</w:t>
      </w:r>
      <w:r>
        <w:rPr>
          <w:rFonts w:hint="eastAsia" w:ascii="仿宋" w:hAnsi="仿宋" w:eastAsia="仿宋" w:cs="宋体"/>
          <w:b/>
          <w:bCs/>
          <w:color w:val="333333"/>
          <w:kern w:val="0"/>
          <w:sz w:val="32"/>
          <w:szCs w:val="32"/>
        </w:rPr>
        <w:br w:type="textWrapping"/>
      </w:r>
      <w:r>
        <w:rPr>
          <w:rFonts w:hint="eastAsia" w:ascii="仿宋" w:hAnsi="仿宋" w:eastAsia="仿宋" w:cs="宋体"/>
          <w:b/>
          <w:bCs/>
          <w:color w:val="333333"/>
          <w:kern w:val="0"/>
          <w:sz w:val="32"/>
          <w:szCs w:val="32"/>
        </w:rPr>
        <w:t>川财税〔2020〕2号</w:t>
      </w:r>
      <w:bookmarkEnd w:id="182"/>
      <w:bookmarkEnd w:id="183"/>
    </w:p>
    <w:p>
      <w:pPr>
        <w:widowControl/>
        <w:spacing w:before="100" w:beforeAutospacing="1" w:after="150" w:line="45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为贯彻落实《四川省人民政府办公厅关于应对新型冠状病毒肺炎疫情缓解中小企业生产经营困难的政策措施》（川办发〔2020〕10号）关于“按各级应对疫情工作领导小组及应急指挥部安排，参与疫情防控的医疗卫生机构和物流企业车辆，免征2020年度车船税；已缴纳2020年度车船税的，在下一年度应缴车船税中抵减”有关规定，现将有关事项公告如下：</w:t>
      </w:r>
    </w:p>
    <w:p>
      <w:pPr>
        <w:widowControl/>
        <w:spacing w:before="100" w:beforeAutospacing="1" w:after="150" w:line="45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一、享受免征2020年度车船税的医疗卫生机构和物流企业名单，由各级应对疫情工作领导小组办公室及应急指挥部或当地牵头负责应对疫情工作后勤保障的部门提供。对于列入名单中的医疗卫生机构和物流企业，免征其名下所有车辆2020年度车船税。</w:t>
      </w:r>
    </w:p>
    <w:p>
      <w:pPr>
        <w:widowControl/>
        <w:spacing w:before="100" w:beforeAutospacing="1" w:after="150" w:line="45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二、符合条件的医疗卫生机构和物流企业已缴纳2020年度车船税的，原则上在下一年度应缴车船税中抵减；如车辆报废、转让等特殊原因，下一年度无需再缴纳车船税或所缴车船税不足抵减的，可向税务部门申请退还多缴税款。</w:t>
      </w:r>
    </w:p>
    <w:p>
      <w:pPr>
        <w:widowControl/>
        <w:spacing w:before="100" w:beforeAutospacing="1" w:after="150" w:line="45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三、此项优惠类型为“自行判别，申报享受，相关资料留存备查”，纳税人对优惠事项留存备查资料的真实性、合法性承担法律责任。纳税人由保险公司代收代缴车船税或自主申报车船税的，减免税代码为“5112129901”。</w:t>
      </w:r>
    </w:p>
    <w:p>
      <w:pPr>
        <w:widowControl/>
        <w:spacing w:before="100" w:beforeAutospacing="1" w:after="150" w:line="45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四、各地财政、税务、银保监部门要各司其职、各负其责，加大对纳税人和相关保险机构的宣传辅导力度，确保优惠政策应知尽知，并积极对接当地有关部门，主动获取参与疫情防控的医疗卫生机构和物流企业名单，准确掌握实际情况，确保优惠政策应享尽享。</w:t>
      </w:r>
    </w:p>
    <w:p>
      <w:pPr>
        <w:widowControl/>
        <w:spacing w:before="100" w:beforeAutospacing="1" w:after="150" w:line="450" w:lineRule="atLeast"/>
        <w:ind w:firstLine="480"/>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四川省财政厅</w:t>
      </w:r>
    </w:p>
    <w:p>
      <w:pPr>
        <w:widowControl/>
        <w:spacing w:before="100" w:beforeAutospacing="1" w:after="150" w:line="450" w:lineRule="atLeast"/>
        <w:ind w:firstLine="480"/>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　　　　　　　　　　　　　　　　　　　　国家税务总局四川省税务局</w:t>
      </w:r>
    </w:p>
    <w:p>
      <w:pPr>
        <w:widowControl/>
        <w:spacing w:before="100" w:beforeAutospacing="1" w:after="150" w:line="450" w:lineRule="atLeast"/>
        <w:ind w:firstLine="480"/>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　　　　　　　　　　　　　　中国银行保险监督管理委员会四川监管局</w:t>
      </w:r>
    </w:p>
    <w:p>
      <w:pPr>
        <w:widowControl/>
        <w:spacing w:before="100" w:beforeAutospacing="1" w:after="150" w:line="450" w:lineRule="atLeast"/>
        <w:ind w:firstLine="480"/>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　　　　　　　　　　　　　　　　　　　　　　　　2020年2月12日</w:t>
      </w:r>
    </w:p>
    <w:p>
      <w:pPr>
        <w:widowControl/>
        <w:adjustRightInd w:val="0"/>
        <w:snapToGrid w:val="0"/>
        <w:spacing w:line="360" w:lineRule="auto"/>
        <w:ind w:firstLine="640" w:firstLineChars="200"/>
        <w:jc w:val="left"/>
        <w:rPr>
          <w:rStyle w:val="215"/>
          <w:rFonts w:ascii="仿宋" w:hAnsi="仿宋" w:eastAsia="仿宋" w:cs="Times New Roman"/>
          <w:color w:val="auto"/>
          <w:kern w:val="0"/>
          <w:sz w:val="32"/>
          <w:szCs w:val="32"/>
        </w:rPr>
      </w:pPr>
    </w:p>
    <w:p>
      <w:pPr>
        <w:widowControl/>
        <w:adjustRightInd w:val="0"/>
        <w:snapToGrid w:val="0"/>
        <w:spacing w:line="360" w:lineRule="auto"/>
        <w:ind w:firstLine="640" w:firstLineChars="200"/>
        <w:jc w:val="left"/>
        <w:rPr>
          <w:rStyle w:val="222"/>
          <w:rFonts w:ascii="仿宋" w:hAnsi="仿宋" w:eastAsia="仿宋" w:cs="Times New Roman"/>
          <w:color w:val="auto"/>
          <w:kern w:val="0"/>
          <w:sz w:val="32"/>
          <w:szCs w:val="32"/>
        </w:rPr>
      </w:pPr>
    </w:p>
    <w:p>
      <w:pPr>
        <w:adjustRightInd w:val="0"/>
        <w:snapToGrid w:val="0"/>
        <w:spacing w:line="360" w:lineRule="auto"/>
        <w:ind w:firstLine="420" w:firstLineChars="200"/>
        <w:rPr>
          <w:rFonts w:ascii="仿宋" w:hAnsi="仿宋" w:eastAsia="仿宋"/>
          <w:sz w:val="32"/>
          <w:szCs w:val="32"/>
        </w:rPr>
      </w:pPr>
      <w:r>
        <w:fldChar w:fldCharType="begin"/>
      </w:r>
      <w:r>
        <w:instrText xml:space="preserve"> HYPERLINK \l "目录" </w:instrText>
      </w:r>
      <w:r>
        <w:fldChar w:fldCharType="separate"/>
      </w:r>
      <w:r>
        <w:fldChar w:fldCharType="end"/>
      </w:r>
      <w:r>
        <w:rPr>
          <w:rFonts w:ascii="仿宋" w:hAnsi="仿宋" w:eastAsia="仿宋"/>
          <w:sz w:val="32"/>
          <w:szCs w:val="32"/>
        </w:rPr>
        <w:t xml:space="preserve"> </w:t>
      </w:r>
      <w:r>
        <w:rPr>
          <w:rFonts w:ascii="仿宋" w:hAnsi="仿宋" w:eastAsia="仿宋"/>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84" w:name="_Toc34141491"/>
      <w:r>
        <w:rPr>
          <w:rFonts w:hint="eastAsia" w:ascii="仿宋" w:hAnsi="仿宋" w:eastAsia="仿宋"/>
          <w:color w:val="000000" w:themeColor="text1"/>
          <w:sz w:val="32"/>
          <w:szCs w:val="32"/>
        </w:rPr>
        <w:t>（二十四）贵州省</w:t>
      </w:r>
      <w:bookmarkEnd w:id="184"/>
    </w:p>
    <w:p>
      <w:pPr>
        <w:pStyle w:val="830"/>
        <w:adjustRightInd w:val="0"/>
        <w:snapToGrid w:val="0"/>
        <w:spacing w:before="0" w:after="0" w:line="360" w:lineRule="auto"/>
        <w:jc w:val="center"/>
        <w:rPr>
          <w:rFonts w:ascii="仿宋" w:hAnsi="仿宋" w:eastAsia="仿宋" w:cs="Times New Roman"/>
          <w:bCs w:val="0"/>
          <w:kern w:val="0"/>
        </w:rPr>
      </w:pPr>
      <w:bookmarkStart w:id="185" w:name="_Toc33451138"/>
      <w:bookmarkStart w:id="186" w:name="_Toc34141492"/>
      <w:r>
        <w:rPr>
          <w:rFonts w:hint="eastAsia" w:ascii="仿宋" w:hAnsi="仿宋" w:eastAsia="仿宋" w:cs="Times New Roman"/>
          <w:bCs w:val="0"/>
          <w:kern w:val="0"/>
        </w:rPr>
        <w:t>国家税务总局贵州省税务局关于电子发票服务平台接入验证工作的公告</w:t>
      </w:r>
      <w:bookmarkEnd w:id="185"/>
      <w:r>
        <w:rPr>
          <w:rFonts w:ascii="仿宋" w:hAnsi="仿宋" w:eastAsia="仿宋"/>
          <w:bCs w:val="0"/>
          <w:color w:val="000000" w:themeColor="text1"/>
        </w:rPr>
        <w:br w:type="textWrapping"/>
      </w:r>
      <w:r>
        <w:rPr>
          <w:rFonts w:hint="eastAsia" w:ascii="仿宋" w:hAnsi="仿宋" w:eastAsia="仿宋" w:cs="Times New Roman"/>
          <w:bCs w:val="0"/>
          <w:kern w:val="0"/>
        </w:rPr>
        <w:t>（国家税务总局贵州省税务局公告</w:t>
      </w:r>
      <w:r>
        <w:rPr>
          <w:rFonts w:ascii="仿宋" w:hAnsi="仿宋" w:eastAsia="仿宋" w:cs="Times New Roman"/>
          <w:bCs w:val="0"/>
          <w:kern w:val="0"/>
        </w:rPr>
        <w:t>2020年第4号</w:t>
      </w:r>
      <w:r>
        <w:rPr>
          <w:rFonts w:hint="eastAsia" w:ascii="仿宋" w:hAnsi="仿宋" w:eastAsia="仿宋" w:cs="Times New Roman"/>
          <w:bCs w:val="0"/>
          <w:kern w:val="0"/>
        </w:rPr>
        <w:t>）</w:t>
      </w:r>
      <w:bookmarkEnd w:id="186"/>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（七）税务机关对上报资料进行验证，向电子发票服务平台厂商反馈验证情况，并做好记录。验证通过的，即可通过国家税务总局贵州省税务局增值税发票管理系统（</w:t>
      </w:r>
      <w:r>
        <w:rPr>
          <w:rFonts w:ascii="仿宋" w:hAnsi="仿宋" w:eastAsia="仿宋" w:cs="Times New Roman"/>
          <w:kern w:val="0"/>
          <w:sz w:val="32"/>
          <w:szCs w:val="32"/>
        </w:rPr>
        <w:t>2.0版）生产环境正式接入（地址：https://skfp.guizhou.chinatax.gov.cn:6002）。</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"http://guizhou.chinatax.gov.cn/xxgk/tzgg/202002/W020200217614078173996.doc"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国家税务总局贵州省税务局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2020年2月17日</w:t>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87" w:name="_Toc34141493"/>
      <w:bookmarkStart w:id="188" w:name="_Toc33451139"/>
      <w:r>
        <w:rPr>
          <w:rFonts w:hint="eastAsia" w:ascii="仿宋" w:hAnsi="仿宋" w:eastAsia="仿宋" w:cs="Times New Roman"/>
          <w:bCs w:val="0"/>
          <w:kern w:val="0"/>
        </w:rPr>
        <w:t>国家税务总局贵州省税务局关于增值税发票综合服务平台维护的公告</w:t>
      </w:r>
      <w:bookmarkEnd w:id="187"/>
      <w:bookmarkEnd w:id="188"/>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尊敬纳税人：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国家税务总局贵州省税务局拟于</w:t>
      </w:r>
      <w:r>
        <w:rPr>
          <w:rFonts w:ascii="仿宋" w:hAnsi="仿宋" w:eastAsia="仿宋" w:cs="Times New Roman"/>
          <w:kern w:val="0"/>
          <w:sz w:val="32"/>
          <w:szCs w:val="32"/>
        </w:rPr>
        <w:t>2020年2月17日18:00至24:00对增值税发票综合服务平台进行维护，届时将暂停发票勾选、发票查验等部分业务办理。由此给您带来的不便，敬请谅解！</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 xml:space="preserve">                                                   国家税务总局贵州省税务局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2020年2月17日</w:t>
      </w:r>
    </w:p>
    <w:p>
      <w:pPr>
        <w:adjustRightInd w:val="0"/>
        <w:snapToGrid w:val="0"/>
        <w:spacing w:line="360" w:lineRule="auto"/>
        <w:ind w:firstLine="640" w:firstLineChars="200"/>
        <w:jc w:val="righ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89" w:name="_Toc34141494"/>
      <w:r>
        <w:rPr>
          <w:rFonts w:hint="eastAsia" w:ascii="仿宋" w:hAnsi="仿宋" w:eastAsia="仿宋"/>
          <w:color w:val="000000" w:themeColor="text1"/>
          <w:sz w:val="32"/>
          <w:szCs w:val="32"/>
        </w:rPr>
        <w:t>（二十五）云南省</w:t>
      </w:r>
      <w:bookmarkEnd w:id="189"/>
    </w:p>
    <w:p>
      <w:pPr>
        <w:pStyle w:val="5"/>
        <w:adjustRightInd w:val="0"/>
        <w:snapToGrid w:val="0"/>
        <w:spacing w:before="0" w:after="0" w:line="360" w:lineRule="auto"/>
        <w:jc w:val="center"/>
        <w:rPr>
          <w:rFonts w:ascii="仿宋" w:hAnsi="仿宋" w:eastAsia="仿宋" w:cs="Times New Roman"/>
          <w:kern w:val="0"/>
        </w:rPr>
      </w:pPr>
      <w:bookmarkStart w:id="190" w:name="_Toc34141495"/>
      <w:bookmarkStart w:id="191" w:name="_Toc33451100"/>
      <w:r>
        <w:rPr>
          <w:rFonts w:hint="eastAsia" w:ascii="仿宋" w:hAnsi="仿宋" w:eastAsia="仿宋" w:cs="Times New Roman"/>
          <w:kern w:val="0"/>
        </w:rPr>
        <w:t>国家税务总局云南省税务局支持新型冠状病毒感染的肺炎疫情防控有关增值税政策的申报参考案例</w:t>
      </w:r>
      <w:bookmarkEnd w:id="190"/>
      <w:bookmarkEnd w:id="191"/>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确保《国家税务总局关于支持新型冠状病毒感染的肺炎疫情防控有关税收征收管理事项的公告》(国家税务总局公告2020年第4号)顺利落实到位，省局根据税务总局《支持新型冠状病毒感染的肺炎疫情防控有关增值税、消费税、出口退税业务即问即答（第二期）》相关要求编制了增值税纳税申报案例供参考，详见附件。</w:t>
      </w:r>
    </w:p>
    <w:p>
      <w:pPr>
        <w:adjustRightInd w:val="0"/>
        <w:snapToGrid w:val="0"/>
        <w:spacing w:line="360" w:lineRule="auto"/>
        <w:ind w:firstLine="420" w:firstLineChars="200"/>
        <w:jc w:val="left"/>
        <w:rPr>
          <w:rFonts w:ascii="仿宋" w:hAnsi="仿宋" w:eastAsia="仿宋" w:cs="Times New Roman"/>
          <w:kern w:val="0"/>
          <w:sz w:val="32"/>
          <w:szCs w:val="32"/>
        </w:rPr>
      </w:pPr>
      <w:r>
        <w:fldChar w:fldCharType="begin"/>
      </w:r>
      <w:r>
        <w:instrText xml:space="preserve"> HYPERLINK "http://yunnan.chinatax.gov.cn/module/download/downfile.jsp?classid=0&amp;filename=62be8100d95c4af5a6a344faa60f396f.doc" </w:instrText>
      </w:r>
      <w:r>
        <w:fldChar w:fldCharType="separate"/>
      </w:r>
      <w:r>
        <w:rPr>
          <w:rStyle w:val="222"/>
          <w:rFonts w:hint="eastAsia" w:ascii="仿宋" w:hAnsi="仿宋" w:eastAsia="仿宋" w:cs="Times New Roman"/>
          <w:color w:val="auto"/>
          <w:kern w:val="0"/>
          <w:sz w:val="32"/>
          <w:szCs w:val="32"/>
        </w:rPr>
        <w:t>附件：支持新型冠状病毒感染的肺炎疫情防控有关增值税政策的申报案例参考.doc</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192" w:name="_Toc34141496"/>
      <w:bookmarkStart w:id="193" w:name="_Toc33451101"/>
      <w:r>
        <w:rPr>
          <w:rFonts w:hint="eastAsia" w:ascii="仿宋" w:hAnsi="仿宋" w:eastAsia="仿宋" w:cs="Times New Roman"/>
          <w:kern w:val="0"/>
        </w:rPr>
        <w:t>国家税务总局云南省税务局关于疫情防控期间全省推行“非接触式”缴纳社保费的倡议书</w:t>
      </w:r>
      <w:bookmarkEnd w:id="192"/>
      <w:bookmarkEnd w:id="193"/>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致全省社会保险费缴费单位、缴费人：</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当前，正处于新型冠状肺炎疫情防控的关键时期，为积极做好疫情防控和应急处置工作，控制疫情的输入、传播和蔓延，保障人民群众生命安全和缴费人权益，提供优质高效的缴费服务，我们向全省社会保险费缴费单位和缴费个人发起“非接触式”缴费的倡议。疫情期间，请尽量选择网上申报、税务一部手机办税费APP、银行APP、12366纳税服务热线等不见面、非接触渠道办理单位及个人社保缴费和咨询业务，减少现场办事次数，最大程度降低交叉感染的风险，齐心协力防控疫情。</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一、推行网上办理社保缴费</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（一）办理范围</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企业职工基本养老保险费、机关事业单位基本养老保险费、城镇职工基本医疗保险费、工伤保险费、失业保险费、城乡居民基本养老保险费、城乡居民基本医疗保险费。</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（二）办理渠道</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1.企业和机关事业单位</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社会保险费网上申报缴费网址:</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（http://61.166.240.82/wssw/jsp/login_new.jsp）</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drawing>
          <wp:anchor distT="0" distB="0" distL="114300" distR="114300" simplePos="0" relativeHeight="251663360" behindDoc="0" locked="0" layoutInCell="1" allowOverlap="1">
            <wp:simplePos x="0" y="0"/>
            <wp:positionH relativeFrom="column">
              <wp:posOffset>380365</wp:posOffset>
            </wp:positionH>
            <wp:positionV relativeFrom="paragraph">
              <wp:posOffset>466725</wp:posOffset>
            </wp:positionV>
            <wp:extent cx="1162050" cy="1124585"/>
            <wp:effectExtent l="0" t="0" r="0" b="0"/>
            <wp:wrapTopAndBottom/>
            <wp:docPr id="50" name="图片 50" descr="1582475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82475171(1)"/>
                    <pic:cNvPicPr>
                      <a:picLocks noChangeAspect="1"/>
                    </pic:cNvPicPr>
                  </pic:nvPicPr>
                  <pic:blipFill>
                    <a:blip r:embed="rId13"/>
                    <a:stretch>
                      <a:fillRect/>
                    </a:stretch>
                  </pic:blipFill>
                  <pic:spPr>
                    <a:xfrm>
                      <a:off x="0" y="0"/>
                      <a:ext cx="1162050" cy="1124585"/>
                    </a:xfrm>
                    <a:prstGeom prst="rect">
                      <a:avLst/>
                    </a:prstGeom>
                  </pic:spPr>
                </pic:pic>
              </a:graphicData>
            </a:graphic>
          </wp:anchor>
        </w:drawing>
      </w:r>
      <w:r>
        <w:rPr>
          <w:rFonts w:hint="eastAsia" w:ascii="仿宋" w:hAnsi="仿宋" w:eastAsia="仿宋" w:cs="Times New Roman"/>
          <w:kern w:val="0"/>
          <w:sz w:val="32"/>
          <w:szCs w:val="32"/>
        </w:rPr>
        <w:t>2.灵活就业人员</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drawing>
          <wp:anchor distT="0" distB="0" distL="114300" distR="114300" simplePos="0" relativeHeight="251666432" behindDoc="0" locked="0" layoutInCell="1" allowOverlap="1">
            <wp:simplePos x="0" y="0"/>
            <wp:positionH relativeFrom="column">
              <wp:posOffset>381000</wp:posOffset>
            </wp:positionH>
            <wp:positionV relativeFrom="paragraph">
              <wp:posOffset>1591310</wp:posOffset>
            </wp:positionV>
            <wp:extent cx="1113790" cy="3162300"/>
            <wp:effectExtent l="0" t="0" r="0" b="0"/>
            <wp:wrapTopAndBottom/>
            <wp:docPr id="51" name="图片 51" descr="1582475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82475245(1)"/>
                    <pic:cNvPicPr>
                      <a:picLocks noChangeAspect="1"/>
                    </pic:cNvPicPr>
                  </pic:nvPicPr>
                  <pic:blipFill>
                    <a:blip r:embed="rId14"/>
                    <a:stretch>
                      <a:fillRect/>
                    </a:stretch>
                  </pic:blipFill>
                  <pic:spPr>
                    <a:xfrm>
                      <a:off x="0" y="0"/>
                      <a:ext cx="1113790" cy="3162300"/>
                    </a:xfrm>
                    <a:prstGeom prst="rect">
                      <a:avLst/>
                    </a:prstGeom>
                  </pic:spPr>
                </pic:pic>
              </a:graphicData>
            </a:graphic>
          </wp:anchor>
        </w:drawing>
      </w:r>
      <w:r>
        <w:rPr>
          <w:rFonts w:hint="eastAsia" w:ascii="仿宋" w:hAnsi="仿宋" w:eastAsia="仿宋" w:cs="Times New Roman"/>
          <w:kern w:val="0"/>
          <w:sz w:val="32"/>
          <w:szCs w:val="32"/>
        </w:rPr>
        <w:t>3.城乡居民</w:t>
      </w:r>
    </w:p>
    <w:p>
      <w:pPr>
        <w:adjustRightInd w:val="0"/>
        <w:snapToGrid w:val="0"/>
        <w:spacing w:line="360" w:lineRule="auto"/>
        <w:ind w:firstLine="640" w:firstLineChars="200"/>
        <w:jc w:val="left"/>
        <w:rPr>
          <w:rFonts w:ascii="仿宋" w:hAnsi="仿宋" w:eastAsia="仿宋" w:cs="Times New Roman"/>
          <w:kern w:val="0"/>
          <w:sz w:val="32"/>
          <w:szCs w:val="32"/>
        </w:rPr>
      </w:pP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二、提供“不见面”服务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疫情期间，缴费单位、缴费人可向税务机关传递电子资料或者邮寄纸质资料，事后再按规定补报正式材料进行归档。</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受疫情影响缴纳社会保险费有困难的企业，向经办机构备案后，可延期缴纳养老、工伤和失业保险费至疫情结束，待疫情结束后3个月内进行补缴。延长缴费期间，不收取滞纳金，不影响参保职工个人权益记录。</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同时，我们将积极提供电话咨询服务，缴费单位、缴费人可拨打12366纳税服务热线和主管税务机关电话进行社保缴费业务咨询。</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三、继续开放税务办税大厅</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在推行网上办理和“非接触式”缴费服务的同时，税务办税服务大厅在工作时间正常对外开放。税务办税服务大厅是公共服务场所，为做好疫情防控工作，我们将认真做好服务窗口、大厅和办公场所日常通风消毒防护工作，窗口工作人员一律佩戴口罩上岗。如果确需到现场办理业务，请您佩戴好口罩，做好个人防护，主动配合工作人员做好体温测量等疫情防控工作。缴费单位、缴费人还可联系主管税务机关提前进行服务预约，错峰错期办理相关业务。</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生命重于泰山，防控人人有责，感谢全省缴费单位、缴费人对税务工作的理解支持与配合！</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国家税务总局云南省税务局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2020年2月19日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5"/>
        <w:adjustRightInd w:val="0"/>
        <w:snapToGrid w:val="0"/>
        <w:spacing w:before="0" w:after="0" w:line="360" w:lineRule="auto"/>
        <w:ind w:firstLine="643" w:firstLineChars="200"/>
        <w:jc w:val="center"/>
        <w:rPr>
          <w:rFonts w:ascii="仿宋" w:hAnsi="仿宋" w:eastAsia="仿宋" w:cs="Times New Roman"/>
          <w:kern w:val="0"/>
        </w:rPr>
      </w:pPr>
      <w:bookmarkStart w:id="194" w:name="_Toc34141497"/>
      <w:bookmarkStart w:id="195" w:name="_Toc33451102"/>
      <w:r>
        <w:rPr>
          <w:rFonts w:hint="eastAsia" w:ascii="仿宋" w:hAnsi="仿宋" w:eastAsia="仿宋" w:cs="Times New Roman"/>
          <w:kern w:val="0"/>
        </w:rPr>
        <w:t>国家税务总局云南省税务局关于企业自建和第三方电子发票服务平台接入验证工作的公告</w:t>
      </w:r>
      <w:bookmarkEnd w:id="194"/>
      <w:bookmarkEnd w:id="195"/>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 电子发票服务平台厂商准备工作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1.根据安全代理接口规范做好开发工作；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2.准备用于部署安全代理的机器；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3.准备测试用税控服务器；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4.准备测试用签章服务器。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(二)税控服务器厂商准备工作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1.准备两套厂商初始密钥(正式设备厂商保护公钥，测试设备厂商保护公钥)，一套用于正式设备，一套用于长期测试设备,并提交到邮箱(地址：dzfptax@163.com)；</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2.准备测试税控服务器(应灌入测试密钥、写入测试税控服务器编号)。</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二、电子发票服务平台接入验证原则</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(三)充分准备原则。电子发票服务平台厂商要充分做好准备工作，严格按照税务机关下发的验证方法和工具，完成自验后再提交税务机关进行验证，验证不通过的，1个月内不得再次申请验证。</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三、电子发票服务平台接入验证流程</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(二)税务机关审核电子发票服务平台厂商提交的验证申请信息，将测试用平台UKey和测试用税务UKey邮寄至平台方提供的收件地址，将验证方法和工具发送到平台方指定邮箱。</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(三)电子发票服务平台厂商使用测试用平台UKey，通过税控服务器安全代理访问增值税发票管理系统(2.0版)测试环境，完成税控服务器发行、税控服务器设备证书制证、发票监制章获取等平台所需初始化操作。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(五)电子发票服务平台厂商使用测试用平台UKey,通过税控服务器安全代理，完成发票开具、发票上传操作，并将上传的发票生成版式文件。</w:t>
      </w:r>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　　(六)电子发票服务平台厂商将待验证信息(包括：已上传发票的发票代码、号码、开票日期以及本张发票对应的版式文件)提交至邮箱(地址：dzfptax@163.com)。</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(七)税务机关对上报资料进行验证，向电子发票服务平台厂商反馈验证情况，并做好记录。验证通过的，即可通过增值税发票管理系统(2.0版)生产环境正式接入(地址：</w:t>
      </w:r>
      <w:r>
        <w:fldChar w:fldCharType="begin"/>
      </w:r>
      <w:r>
        <w:instrText xml:space="preserve"> HYPERLINK "https://yunnan.chinatax.gov.cn:9006" </w:instrText>
      </w:r>
      <w:r>
        <w:fldChar w:fldCharType="separate"/>
      </w:r>
      <w:r>
        <w:rPr>
          <w:rStyle w:val="222"/>
          <w:rFonts w:hint="eastAsia" w:ascii="仿宋" w:hAnsi="仿宋" w:eastAsia="仿宋" w:cs="Times New Roman"/>
          <w:color w:val="auto"/>
          <w:kern w:val="0"/>
          <w:sz w:val="32"/>
          <w:szCs w:val="32"/>
        </w:rPr>
        <w:t>https://yunnan.chinatax.gov.cn:9006</w:t>
      </w:r>
      <w:r>
        <w:rPr>
          <w:rStyle w:val="222"/>
          <w:rFonts w:hint="eastAsia" w:ascii="仿宋" w:hAnsi="仿宋" w:eastAsia="仿宋" w:cs="Times New Roman"/>
          <w:color w:val="auto"/>
          <w:kern w:val="0"/>
          <w:sz w:val="32"/>
          <w:szCs w:val="32"/>
        </w:rPr>
        <w:fldChar w:fldCharType="end"/>
      </w:r>
      <w:r>
        <w:rPr>
          <w:rFonts w:hint="eastAsia" w:ascii="仿宋" w:hAnsi="仿宋" w:eastAsia="仿宋" w:cs="Times New Roman"/>
          <w:kern w:val="0"/>
          <w:sz w:val="32"/>
          <w:szCs w:val="32"/>
        </w:rPr>
        <w:t>)。</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"http://yunnan.chinatax.gov.cn/module/download/downfile.jsp?classid=0&amp;filename=55d2f7a7338c452180461709cf0a57ab.docx" </w:instrText>
      </w:r>
      <w:r>
        <w:fldChar w:fldCharType="separate"/>
      </w:r>
      <w:r>
        <w:rPr>
          <w:rStyle w:val="222"/>
          <w:rFonts w:hint="eastAsia" w:ascii="仿宋" w:hAnsi="仿宋" w:eastAsia="仿宋" w:cs="Times New Roman"/>
          <w:color w:val="auto"/>
          <w:kern w:val="0"/>
          <w:sz w:val="32"/>
          <w:szCs w:val="32"/>
        </w:rPr>
        <w:t>增值税电子发票服务平台安全管理保证书.docx</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国家税务总局云南省税务局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p>
    <w:p>
      <w:pPr>
        <w:widowControl/>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196" w:name="_Toc34141498"/>
      <w:r>
        <w:rPr>
          <w:rFonts w:hint="eastAsia" w:ascii="仿宋" w:hAnsi="仿宋" w:eastAsia="仿宋"/>
          <w:color w:val="000000" w:themeColor="text1"/>
          <w:sz w:val="32"/>
          <w:szCs w:val="32"/>
        </w:rPr>
        <w:t>（二十六）甘肃省</w:t>
      </w:r>
      <w:bookmarkEnd w:id="196"/>
    </w:p>
    <w:p>
      <w:pPr>
        <w:pStyle w:val="830"/>
        <w:adjustRightInd w:val="0"/>
        <w:snapToGrid w:val="0"/>
        <w:spacing w:before="0" w:after="0" w:line="360" w:lineRule="auto"/>
        <w:jc w:val="center"/>
        <w:rPr>
          <w:rFonts w:ascii="仿宋" w:hAnsi="仿宋" w:eastAsia="仿宋" w:cs="Times New Roman"/>
          <w:bCs w:val="0"/>
          <w:kern w:val="0"/>
        </w:rPr>
      </w:pPr>
      <w:bookmarkStart w:id="197" w:name="_Toc34141499"/>
      <w:bookmarkStart w:id="198" w:name="_Toc33451127"/>
      <w:r>
        <w:rPr>
          <w:rFonts w:hint="eastAsia" w:ascii="仿宋" w:hAnsi="仿宋" w:eastAsia="仿宋" w:cs="Times New Roman"/>
          <w:bCs w:val="0"/>
          <w:kern w:val="0"/>
        </w:rPr>
        <w:t>国家税务总局甘肃省税务局关于电子发票服务平台接入验证工作的公告</w:t>
      </w:r>
      <w:bookmarkEnd w:id="197"/>
      <w:bookmarkEnd w:id="198"/>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w:t>
      </w:r>
      <w:r>
        <w:rPr>
          <w:rFonts w:ascii="仿宋" w:hAnsi="仿宋" w:eastAsia="仿宋" w:cs="Times New Roman"/>
          <w:kern w:val="0"/>
          <w:sz w:val="32"/>
          <w:szCs w:val="32"/>
        </w:rPr>
        <w:t xml:space="preserve"> 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UKey和测试用税务UKey邮寄至平台方提供的收件地址，将验证方法和工具发送到平台方指定邮箱。</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（七）税务机关对上报资料进行验证，向电子发票服务平台厂商反馈验证情况，并做好记录。验证通过的，即可通过甘肃省税务局增值税发票管理系统（</w:t>
      </w:r>
      <w:r>
        <w:rPr>
          <w:rFonts w:ascii="仿宋" w:hAnsi="仿宋" w:eastAsia="仿宋" w:cs="Times New Roman"/>
          <w:kern w:val="0"/>
          <w:sz w:val="32"/>
          <w:szCs w:val="32"/>
        </w:rPr>
        <w:t>2.0版）生产环境正式接入（地址：https://fpkj.gansu.chinatax.gov.cn）。</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"http://gansu.chinatax.gov.cn/module/download/downfile.jsp?classid=0&amp;filename=3c67ebef0a2f40d1a69956a43125b42b.docx"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ascii="仿宋" w:hAnsi="仿宋" w:eastAsia="仿宋" w:cs="Times New Roman"/>
          <w:color w:val="auto"/>
          <w:kern w:val="0"/>
          <w:sz w:val="32"/>
          <w:szCs w:val="32"/>
        </w:rPr>
        <w:t>.docx</w:t>
      </w:r>
      <w:r>
        <w:rPr>
          <w:rStyle w:val="222"/>
          <w:rFonts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国家税务总局甘肃省税务局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二〇二〇年二月十四日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199" w:name="_Toc34141500"/>
      <w:bookmarkStart w:id="200" w:name="_Toc33451128"/>
      <w:r>
        <w:rPr>
          <w:rFonts w:hint="eastAsia" w:ascii="仿宋" w:hAnsi="仿宋" w:eastAsia="仿宋" w:cs="Times New Roman"/>
          <w:bCs w:val="0"/>
          <w:kern w:val="0"/>
        </w:rPr>
        <w:t>国家税务总局甘肃省税务局关于启动</w:t>
      </w:r>
      <w:r>
        <w:rPr>
          <w:rFonts w:ascii="仿宋" w:hAnsi="仿宋" w:eastAsia="仿宋" w:cs="Times New Roman"/>
          <w:bCs w:val="0"/>
          <w:kern w:val="0"/>
        </w:rPr>
        <w:t>2019年度企业所得税汇缴网上申报工作的温馨提示</w:t>
      </w:r>
      <w:bookmarkEnd w:id="199"/>
      <w:bookmarkEnd w:id="200"/>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尊敬的企业所得税纳税人：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疫情当前，“非接触式”办税不仅是保护广大企业办税人员和税务人员生命安全、身体健康的有效方式，更是最大限度切断疫情传播途径的必然举措。非常时期，为帮助您“尽可能”通过网络便捷、顺畅地做好</w:t>
      </w:r>
      <w:r>
        <w:rPr>
          <w:rFonts w:ascii="仿宋" w:hAnsi="仿宋" w:eastAsia="仿宋" w:cs="Times New Roman"/>
          <w:kern w:val="0"/>
          <w:sz w:val="32"/>
          <w:szCs w:val="32"/>
        </w:rPr>
        <w:t>2019年度企业所得税汇算清缴工作，并确保国家减税降费政策全面落实到位，我们对国家税务总局甘肃省电子税务局企业所得税年报功能进行了全面优化和升级，并从2020年2月15日起正式启动2019年度企业所得税汇算清缴网上申报工作。请您在做好疫情防控的同时，务必依法完成2019年度企业所得税汇算清缴事项。现就有关事项说明提示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一、汇算清缴的内涵</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企业所得税汇算清缴，是指纳税人自纳税年度终了之日起</w:t>
      </w:r>
      <w:r>
        <w:rPr>
          <w:rFonts w:ascii="仿宋" w:hAnsi="仿宋" w:eastAsia="仿宋" w:cs="Times New Roman"/>
          <w:kern w:val="0"/>
          <w:sz w:val="32"/>
          <w:szCs w:val="32"/>
        </w:rPr>
        <w:t>5个月内或实际经营终止之日起60日内，依照税收法律、法规、规章及其他有关企业所得税的规定，自行计算本纳税年度应纳税所得额和应纳所得税额，根据月度或季度预缴企业所得税的数额，确定该纳税年度应补或者应退税额，并填写企业所得税年度纳税申报表，向主管税务机关办理企业所得税年度纳税申报、提供税务机关要求提供的有关资料、结清全年企业所得税税款的行为。</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二、汇算清缴对象</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凡在纳税年度内从事生产、经营（包括试生产、试经营），或在纳税年度中间终止经营活动的纳税人，无论是否在减税、免税期间，也无论盈利或亏损，均应按照企业所得税法及其实施条例的有关规定进行企业所得税汇算清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实行核定定额征收企业所得税的纳税人，不进行汇算清缴。</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2.中央企业二级分支机构应按照企业所得税有关规定向当地主管税务机关报送企业所得税申报表或其他相关资料，税款缴纳根据相关规定执行。</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3.执行《跨地区经营汇总纳税企业所得税征收管理办法》的跨地区经营汇总纳税企业的二级分支机构也应按规定进行企业所得税年度纳税申报，并按照总机构计算分摊的应缴应退税款，就地办理税款缴库或退库。</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4.甘肃省内跨市州、跨县区汇总纳税企业由总机构统一办理汇算清缴。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三、汇算清缴时间</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（一）一般规定及注意事项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根据《企业所得税法》及其实施条例、《税收征管法》及其实施细则等规定，纳税人应当在</w:t>
      </w:r>
      <w:r>
        <w:rPr>
          <w:rFonts w:ascii="仿宋" w:hAnsi="仿宋" w:eastAsia="仿宋" w:cs="Times New Roman"/>
          <w:kern w:val="0"/>
          <w:sz w:val="32"/>
          <w:szCs w:val="32"/>
        </w:rPr>
        <w:t>2020年1月1日至2020年6月1日期间完成2019年度企业所得税汇算清缴，结清应缴应退企业所得税税款。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纳税人发生解散、破产、撤销等终止生产经营情形，需进行企业所得税清算的，应在清算前报告主管税务机关，并自实际经营终止之日起</w:t>
      </w:r>
      <w:r>
        <w:rPr>
          <w:rFonts w:ascii="仿宋" w:hAnsi="仿宋" w:eastAsia="仿宋" w:cs="Times New Roman"/>
          <w:kern w:val="0"/>
          <w:sz w:val="32"/>
          <w:szCs w:val="32"/>
        </w:rPr>
        <w:t>60日内向主管税务机关办理企业所得税汇算清缴，结清应缴应退企业所得税款。纳税人有其他情形依法终止纳税义务的，应当自停止生产、经营之日起60日内，向主管税务机关办理企业所得税汇算清缴，结清应缴应退企业所得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（二）更正申报及注意事项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在法定汇算清缴期内，纳税人如发现企业所得税年度纳税申报有误的，可以进行更正申报，涉及补缴税款的不加收滞纳金。</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在法定汇算清缴期结束后，纳税人如发现企业所得税年度纳税申报有误的，也可以进行更正申报，但涉及补缴税款的将自法定汇算清缴期截止次日起按日加收滞纳税款</w:t>
      </w:r>
      <w:r>
        <w:rPr>
          <w:rFonts w:ascii="仿宋" w:hAnsi="仿宋" w:eastAsia="仿宋" w:cs="Times New Roman"/>
          <w:kern w:val="0"/>
          <w:sz w:val="32"/>
          <w:szCs w:val="32"/>
        </w:rPr>
        <w:t>0.05%的滞纳金。</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（三）延期申报纳税</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纳税人受疫情等不可抗力影响，或者因财务处理上的特殊原因</w:t>
      </w:r>
      <w:r>
        <w:rPr>
          <w:rFonts w:ascii="仿宋" w:hAnsi="仿宋" w:eastAsia="仿宋" w:cs="Times New Roman"/>
          <w:kern w:val="0"/>
          <w:sz w:val="32"/>
          <w:szCs w:val="32"/>
        </w:rPr>
        <w:t>,账务未处理完毕,不能计算应纳税额，按照规定的期限办理申报有困难的，可以依法申请延期申报；纳税人受疫情等不可抗力因素导致生产经营发生严重困难，或者当期货币资金在扣除应付职工工资、社会保险费后，不足以缴纳税款的，可以依法申请延期缴纳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四、汇算清缴资料及注意事项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（一）企业所得税年度纳税申报表及其附表（必报）。纳税人通过电子税务局申报的，直接填报电子表单即可。</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（二）年度财务报表（查账征收纳税人必报）。纳税人通过电子税务局报送的，直接上传电子数据即可。</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（三）税收优惠资料（留存备查为主）。</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享受集成电路生产企业、集成电路设计企业、软件企业、国家规划布局内的重点软件企业和集成电路设计企业等优惠事项的企业,应当在完成年度汇算清缴后，按照《企业所得税优惠事项管理目录（2017年版）》“后续管理要求”项目中列示的清单向税务机关提交资料。</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除上述第1条所列优惠事项外，享受其他企业所得税优惠事项的企业，在完成年度汇算清缴后，按照《企业所得税优惠事项管理目录（2017年版）》“主要留存备查资料”项目中列示的清单,或《企业所得税优惠事项管理目录（2017年版）》发布后新出台或调整政策的规定归集并整理留存相关资料，以备税务机关核查。企业同时享受多项优惠事项或者享受的优惠事项按照规定分项目进行核算的，应当按照优惠事项或者项目分别归集留存备查资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享受研发费用加计扣除政策的企业不再填报《研发项目可加计扣除研究开发费用情况归集表》和报送《“研发支出”辅助账汇总表》。《“研发支出”辅助账汇总表》由企业留存备查。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（四）资产损失税前扣除资料（留存备查）。企业向税务机关申报扣除资产损失，仅需填报企业所得税年度纳税申报表《资产损失税前扣除及纳税调整明细表》，不再报送资产损失相关资料。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（五）税前扣除凭证及资料（留存备查）。企业应在当年度企业所得税法规定的汇算清缴期结束前取得税前扣除凭证。同时应将与税前扣除凭证相关的资料，包括合同协议、支出依据、付款凭证等留存备查</w:t>
      </w:r>
      <w:r>
        <w:rPr>
          <w:rFonts w:ascii="仿宋" w:hAnsi="仿宋" w:eastAsia="仿宋" w:cs="Times New Roman"/>
          <w:kern w:val="0"/>
          <w:sz w:val="32"/>
          <w:szCs w:val="32"/>
        </w:rPr>
        <w:t>,以证实税前扣除凭证的真实性。由于特殊原因，不能依法取得税前扣除凭证的，应当留存《企业所得税税前扣除凭证管理办法》第十四条规定的相关资料。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（六）企业重组适用特殊性税务处理等特定事项资料，按相关规定执行。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五、申报表适用范围及注意事项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（一）申报表适用范围</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1.《中华人民共和国企业所得税年度纳税申报表（A类）》及相关附表，适用于查账征收企业所得税的居民企业及中央企业二级分支机构。</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2.《中华人民共和国企业所得税年度纳税申报表（B类）》及相关附表，适用于核定定率征收企业所得税的居民企业。</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分支机构企业所得税年度纳税申报表（A类）》（表样同《中华人民共和国企业所得税月(季)度预缴纳税申报表(A类)》），适用于执行《跨地区经营汇总纳税企业所得税征收管理办法》的跨地区经营汇总纳税企业的二级分支机构。</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（二）申报表单选择注意事项</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适用《中华人民共和国企业所得税年度纳税申报表（A类）》的纳税人，应根据实际经营情况在《企业所得税年度纳税申报表填报表单》中选择确认需要填报的附表，凡选择填报的附表，无论相关业务是否需纳税调整，均应完成对应附表的填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请特别注意以下纳税调整类表单的填报条件：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1）《投资收益纳税调整明细表》（A105030）：从事股权投资业务的纳税人，不论是否纳税调整，均需填报本表。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2）《职工薪酬支出及纳税调整明细表》（A105050）：纳税人只要发生相关支出，不论是否纳税调整，均需填报本表。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3）《广告费和业务宣传费等跨年度纳税调整明细表》（A105060）：只要纳税人存在以前年度结转的待扣除广告费和业务宣传费，或者保险企业存在以前年度结转的待扣除手续费及佣金支出，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4）《捐赠支出及纳税调整明细表》（A105070）：纳税人只要发生捐赠支出（含捐赠支出结转），不论是否纳税调整，均需填报本表。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《资产折旧、摊销及纳税调整明细表》（</w:t>
      </w:r>
      <w:r>
        <w:rPr>
          <w:rFonts w:ascii="仿宋" w:hAnsi="仿宋" w:eastAsia="仿宋" w:cs="Times New Roman"/>
          <w:kern w:val="0"/>
          <w:sz w:val="32"/>
          <w:szCs w:val="32"/>
        </w:rPr>
        <w:t>A105080）：纳税人只要发生资产折旧、摊销事项，不论是否纳税调整，均需填报本表。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《资产损失税前扣除及纳税调整明细表》（</w:t>
      </w:r>
      <w:r>
        <w:rPr>
          <w:rFonts w:ascii="仿宋" w:hAnsi="仿宋" w:eastAsia="仿宋" w:cs="Times New Roman"/>
          <w:kern w:val="0"/>
          <w:sz w:val="32"/>
          <w:szCs w:val="32"/>
        </w:rPr>
        <w:t>A105090）：纳税人只要发生资产损失税前扣除事项，不论是否纳税调整，均需填报本表。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《企业重组及递延纳税事项纳税调整明细表》（</w:t>
      </w:r>
      <w:r>
        <w:rPr>
          <w:rFonts w:ascii="仿宋" w:hAnsi="仿宋" w:eastAsia="仿宋" w:cs="Times New Roman"/>
          <w:kern w:val="0"/>
          <w:sz w:val="32"/>
          <w:szCs w:val="32"/>
        </w:rPr>
        <w:t>A105100）：纳税人只要发生企业重组、非货币性资产对外投资、技术入股等业务，或者当年处于债务重组、非货币性资产对外投资或技术入股递延纳税年度，均需填报本表。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8）《特殊行业准备金及纳税调整明细表》（A105120）：保险、证券、期货、金融、中小企业信用担保机构、小额贷款公司等税法允许税前扣除“准备金”的特殊行业纳税人只要会计上发生相关准备金，不论是否纳税调整，均需填报本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3.实行查账征收的居民企业，纳税年度发生关联交易的，在向税务机关报送年度企业所得税纳税申报表时，应当同时就其与关联方之间的业务往来进行关联申报。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六、汇算清缴网上申报途径及帮助通道</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2019年度企业所得税汇算清缴网上申报业务通过国家税务总局甘肃省电子税务局办理。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登录网址为：</w:t>
      </w:r>
      <w:r>
        <w:rPr>
          <w:rFonts w:ascii="仿宋" w:hAnsi="仿宋" w:eastAsia="仿宋" w:cs="Times New Roman"/>
          <w:kern w:val="0"/>
          <w:sz w:val="32"/>
          <w:szCs w:val="32"/>
        </w:rPr>
        <w:t>https://etax.gansu.chinatax.gov.cn</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如果您在申报过程中遇到相关政策问题，可通过拨打主管税务机关公布的咨询电话或</w:t>
      </w:r>
      <w:r>
        <w:rPr>
          <w:rFonts w:ascii="仿宋" w:hAnsi="仿宋" w:eastAsia="仿宋" w:cs="Times New Roman"/>
          <w:kern w:val="0"/>
          <w:sz w:val="32"/>
          <w:szCs w:val="32"/>
        </w:rPr>
        <w:t>12366纳税服务热线进行沟通解决；如果遇到电子税务局操作问题，请拨打0931-8112366咨询解决。同时，建议您关注甘肃税务门户网站及“甘肃税务”微信平台及时获取企业所得税相关政策信息。</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七、关于税收政策风险提示服务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今年我们将继续为通过电子税务局办理申报的查账征收居民企业提供企业所得税“税收政策风险提示”服务，该风险提示服务基于您的申报信息，并结合税收政策规定，利用信息化手段对您的申报疑似风险点进行提示，旨在帮助您降低申报风险。如果您核实确认提示信息确属风险或差错的，建议对填报数据进行更正后提交申报；如核实后确认不属于风险或差错的，请忽略该提示信息。不论您是否修改相关风险提示信息，均不影响您的正常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预计该系统将于</w:t>
      </w:r>
      <w:r>
        <w:rPr>
          <w:rFonts w:ascii="仿宋" w:hAnsi="仿宋" w:eastAsia="仿宋" w:cs="Times New Roman"/>
          <w:kern w:val="0"/>
          <w:sz w:val="32"/>
          <w:szCs w:val="32"/>
        </w:rPr>
        <w:t>3月初加载到国家税务总局甘肃省电子税务局企业所得税年报功能中。如您需要使用该功能，请在该功能正式启用后再行办理2019年度企业所得税汇算清缴。同时请您注意，为确保您能在网上申报时顺利使用“税收政策风险提示”服务功能，请您在办理汇算清缴网上申报前（至少提前24小时）通过电子税务局提交本企业2019年度财务报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八、汇算清缴补（退）税款处理</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纳税人在纳税年度内预缴企业所得税税款少于应缴企业所得税税款的，应在汇算清缴期内结清应补缴的企业所得税税款；预缴税款超过应纳税款的，主管税务机关应及时按有关规定办理退税，或者经纳税人同意后抵缴其下一年度应缴企业所得税税款。</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九、其他事项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（一）纳税人对申报数据和报送材料的真实性和合法性承担法律责任。</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（二）企业所得税汇算清缴须在纳税人完成纳税年度预缴申报后才能进行。如果纳税人存在缺漏纳税年度预缴申报的，要先补充完整</w:t>
      </w:r>
      <w:r>
        <w:rPr>
          <w:rFonts w:ascii="仿宋" w:hAnsi="仿宋" w:eastAsia="仿宋" w:cs="Times New Roman"/>
          <w:kern w:val="0"/>
          <w:sz w:val="32"/>
          <w:szCs w:val="32"/>
        </w:rPr>
        <w:t>,才能继续申报。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（三）跨地区经营汇总纳税企业请务必根据《跨地区经营汇总纳税企业所得税征收管理办法》（国家税务总局公告</w:t>
      </w:r>
      <w:r>
        <w:rPr>
          <w:rFonts w:ascii="仿宋" w:hAnsi="仿宋" w:eastAsia="仿宋" w:cs="Times New Roman"/>
          <w:kern w:val="0"/>
          <w:sz w:val="32"/>
          <w:szCs w:val="32"/>
        </w:rPr>
        <w:t>2012年第57号）第二十一条、第二十二条的规定及时完善相关登记、报告信息。</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（四）纳税人未按照规定的期限办理纳税申报和报送纳税资料，且未依法申请延期申报的，将影响纳税信用评价结果，并依照《中华人民共和国税收征收管理法》有关规定承担相应法律责任。</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（五）防控疫情，人人有责。建议您从维护自身安全的角度出发，尽可能通过电子税务局依法完成</w:t>
      </w:r>
      <w:r>
        <w:rPr>
          <w:rFonts w:ascii="仿宋" w:hAnsi="仿宋" w:eastAsia="仿宋" w:cs="Times New Roman"/>
          <w:kern w:val="0"/>
          <w:sz w:val="32"/>
          <w:szCs w:val="32"/>
        </w:rPr>
        <w:t>2019年度企业所得税汇算清缴工作。如有确需到办税服务厅现场办理的特殊紧急事项，请通过电话、微信等方式，提前做好预约，我们将分批错峰办理。办理时请您佩戴口罩，做好自我防护，感谢您的理解和配合！</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国家税务总局甘肃省税务局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2020年2月14日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201" w:name="_Toc33451129"/>
      <w:bookmarkStart w:id="202" w:name="_Toc34141501"/>
      <w:r>
        <w:rPr>
          <w:rFonts w:hint="eastAsia" w:ascii="仿宋" w:hAnsi="仿宋" w:eastAsia="仿宋" w:cs="Times New Roman"/>
          <w:bCs w:val="0"/>
          <w:kern w:val="0"/>
        </w:rPr>
        <w:t>甘肃省新型冠状病毒肺炎疫情联防联控领导小组办公室印发《关于支持打赢新冠肺炎疫情防控阻击战的若干措施》的通知</w:t>
      </w:r>
      <w:bookmarkEnd w:id="201"/>
      <w:r>
        <w:rPr>
          <w:rFonts w:ascii="仿宋" w:hAnsi="仿宋" w:eastAsia="仿宋"/>
          <w:bCs w:val="0"/>
          <w:color w:val="000000" w:themeColor="text1"/>
        </w:rPr>
        <w:br w:type="textWrapping"/>
      </w:r>
      <w:r>
        <w:rPr>
          <w:rFonts w:hint="eastAsia" w:ascii="仿宋" w:hAnsi="仿宋" w:eastAsia="仿宋" w:cs="Times New Roman"/>
          <w:bCs w:val="0"/>
          <w:kern w:val="0"/>
        </w:rPr>
        <w:t>（甘疫防办发〔</w:t>
      </w:r>
      <w:r>
        <w:rPr>
          <w:rFonts w:ascii="仿宋" w:hAnsi="仿宋" w:eastAsia="仿宋" w:cs="Times New Roman"/>
          <w:bCs w:val="0"/>
          <w:kern w:val="0"/>
        </w:rPr>
        <w:t>2020〕18号</w:t>
      </w:r>
      <w:r>
        <w:rPr>
          <w:rFonts w:hint="eastAsia" w:ascii="仿宋" w:hAnsi="仿宋" w:eastAsia="仿宋" w:cs="Times New Roman"/>
          <w:bCs w:val="0"/>
          <w:kern w:val="0"/>
        </w:rPr>
        <w:t>）</w:t>
      </w:r>
      <w:bookmarkEnd w:id="202"/>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各市州、兰州新区、甘肃矿区新冠肺炎疫情联防联控领导小组，省联防联控领导小组各成员单位，省政府有关部门，中央在甘有关单位</w:t>
      </w:r>
      <w:r>
        <w:rPr>
          <w:rFonts w:ascii="仿宋" w:hAnsi="仿宋" w:eastAsia="仿宋" w:cs="Times New Roman"/>
          <w:kern w:val="0"/>
          <w:sz w:val="32"/>
          <w:szCs w:val="32"/>
        </w:rPr>
        <w:t>:</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《关于支持打赢新冠肺炎疫情防控阻击战的若干措施》已经省新冠肺炎疫情联防联控领导小组同意，现印发给你们，请认真抓好贯彻落实。</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甘肃省新型冠状病毒肺炎疫情联防联控领导小组办公室</w:t>
      </w:r>
    </w:p>
    <w:p>
      <w:pPr>
        <w:adjustRightInd w:val="0"/>
        <w:snapToGrid w:val="0"/>
        <w:spacing w:line="360" w:lineRule="auto"/>
        <w:ind w:firstLine="640" w:firstLineChars="200"/>
        <w:jc w:val="right"/>
        <w:outlineLvl w:val="0"/>
        <w:rPr>
          <w:rFonts w:ascii="仿宋" w:hAnsi="仿宋" w:eastAsia="仿宋" w:cs="Times New Roman"/>
          <w:kern w:val="0"/>
          <w:sz w:val="32"/>
          <w:szCs w:val="32"/>
        </w:rPr>
      </w:pPr>
      <w:r>
        <w:rPr>
          <w:rFonts w:hint="eastAsia" w:ascii="仿宋" w:hAnsi="仿宋" w:eastAsia="仿宋" w:cs="Times New Roman"/>
          <w:kern w:val="0"/>
          <w:sz w:val="32"/>
          <w:szCs w:val="32"/>
        </w:rPr>
        <w:t>（代章）</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2020年2月14日</w:t>
      </w:r>
    </w:p>
    <w:p>
      <w:pPr>
        <w:adjustRightInd w:val="0"/>
        <w:snapToGrid w:val="0"/>
        <w:spacing w:line="360" w:lineRule="auto"/>
        <w:ind w:firstLine="640" w:firstLineChars="200"/>
        <w:jc w:val="right"/>
        <w:rPr>
          <w:rFonts w:ascii="仿宋" w:hAnsi="仿宋" w:eastAsia="仿宋" w:cs="Times New Roman"/>
          <w:kern w:val="0"/>
          <w:sz w:val="32"/>
          <w:szCs w:val="32"/>
        </w:rPr>
      </w:pPr>
    </w:p>
    <w:p>
      <w:pPr>
        <w:adjustRightInd w:val="0"/>
        <w:snapToGrid w:val="0"/>
        <w:spacing w:line="360" w:lineRule="auto"/>
        <w:jc w:val="center"/>
        <w:rPr>
          <w:rFonts w:ascii="仿宋" w:hAnsi="仿宋" w:eastAsia="仿宋" w:cs="Times New Roman"/>
          <w:b/>
          <w:kern w:val="0"/>
          <w:sz w:val="32"/>
          <w:szCs w:val="32"/>
        </w:rPr>
      </w:pPr>
      <w:r>
        <w:rPr>
          <w:rFonts w:hint="eastAsia" w:ascii="仿宋" w:hAnsi="仿宋" w:eastAsia="仿宋" w:cs="Times New Roman"/>
          <w:b/>
          <w:kern w:val="0"/>
          <w:sz w:val="32"/>
          <w:szCs w:val="32"/>
        </w:rPr>
        <w:t>关于支持打赢新冠肺炎疫情防控阻击战的若干措施</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为深入贯彻落实党中央、国务院关于新冠肺炎疫情防控工作部署，强化政策支持，靠实工作责任，切实加强防控能力建设，保障市场平稳有序运行，制定以下措施。</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一、优化行政审批服务</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加快新落地生产防控疫情所需物资项目审批。全面实行“网上办事”“不见面审批”，简化项目审批手续，发挥“投资项目在线审批监管平台”作用，着力提高疫情防控期间项目审批工作效率。（责任单位：省发展改革委、省工信厅、省卫生健康委、省市场监管局、省应急厅，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（二）加快疫情防控用相关药品、医疗器械审批。对用于疫情防控治疗的药品、医疗器械实施应急审批程序，开设快速审批通道，提供全程技术咨询和政策指导。（责任单位：省药监局）</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（三）开辟应急生产许可、环评审批绿色通道。为生产过氧乙酸的企业在</w:t>
      </w:r>
      <w:r>
        <w:rPr>
          <w:rFonts w:ascii="仿宋" w:hAnsi="仿宋" w:eastAsia="仿宋" w:cs="Times New Roman"/>
          <w:kern w:val="0"/>
          <w:sz w:val="32"/>
          <w:szCs w:val="32"/>
        </w:rPr>
        <w:t>24小时内完成工业产品生产许可申请、现场技术评审、专业检测和发证环节。为符合相关标准的消杀企业发放消杀用品应急生产许可。对疫情防控急需的医疗卫生、物资生产、研究实验等建设项目需办理环评手续的实行备案管理，疫情结束后1个月内补办环评手续。（责任单位：省市场监管局、省卫生健康委、省生态环境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（四）设立进口防控物资快速通关绿色通道。对进口防疫物资实行“</w:t>
      </w:r>
      <w:r>
        <w:rPr>
          <w:rFonts w:ascii="仿宋" w:hAnsi="仿宋" w:eastAsia="仿宋" w:cs="Times New Roman"/>
          <w:kern w:val="0"/>
          <w:sz w:val="32"/>
          <w:szCs w:val="32"/>
        </w:rPr>
        <w:t>7×24”小时通关，快速验收，紧急情况下先登记放行，再按规定补办相关手续。属于进口捐赠物资的，第一时间办理相关手续，实施快速验放。对已经国家药品监督管理局批准进口的用于治疗、预防新冠肺炎疫苗、血液制品等特殊物品，提供国家药品监督管理局药品注册证书、产品质量检验报告等证明文件后，海关予以放行。符合美国、欧盟和日本相关标准未在我国注册/备案的医疗器械，在提供有境外医疗器械上市证明文件、检验报告及中文翻译件，并作出产品质量安全承诺的前提下，可从国外紧急进</w:t>
      </w:r>
      <w:r>
        <w:rPr>
          <w:rFonts w:hint="eastAsia" w:ascii="仿宋" w:hAnsi="仿宋" w:eastAsia="仿宋" w:cs="Times New Roman"/>
          <w:kern w:val="0"/>
          <w:sz w:val="32"/>
          <w:szCs w:val="32"/>
        </w:rPr>
        <w:t>口，海关快速放行。经省新冠肺炎疫情联防联控领导小组确认，确需进口且未在我国注册</w:t>
      </w:r>
      <w:r>
        <w:rPr>
          <w:rFonts w:ascii="仿宋" w:hAnsi="仿宋" w:eastAsia="仿宋" w:cs="Times New Roman"/>
          <w:kern w:val="0"/>
          <w:sz w:val="32"/>
          <w:szCs w:val="32"/>
        </w:rPr>
        <w:t>/备案的医疗器械，省药监局出具该批医疗器械的进口证明，配合工信、卫生健康、海关等部门做好进口通关工作。（责任单位：兰州海关、省药监局、省工信厅、省卫生健康委、省红十字会）</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建立政府采购绿色通道。充分利用紧急采购便利化政策，凡是使用财政性资金采购疫情防控相关货物、服务和工程的，实行紧急采购，可不执行采购计划备案、变更采购方式审批、采购进口产品审核等政府采购法规定的方式和程序。发挥好“网上开评标”系统作用，保障各级各类项目尽快落地。通过公共资源交易大数据平台，及时监测药品、医疗器械、耗材等物资保障情况，提高采购效率。（责任单位：省财政厅、省公共资源交易局）</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提高资金拨付汇划效率。对财政专项划拨资金、应急处置专项资金需要开立核准类人民币银行结算账户的单位，开通绿色通道，立即办理。建立外汇政策绿色通道，为全省疫情防控提供高效便捷的外汇金融服务。（责任单位：人行兰州中心支行、甘肃银保监局）</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二、强化防控资金保障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（七）加大疫情防控资金投入。基本公共卫生服务项目</w:t>
      </w:r>
      <w:r>
        <w:rPr>
          <w:rFonts w:ascii="仿宋" w:hAnsi="仿宋" w:eastAsia="仿宋" w:cs="Times New Roman"/>
          <w:kern w:val="0"/>
          <w:sz w:val="32"/>
          <w:szCs w:val="32"/>
        </w:rPr>
        <w:t>2020年人均补助标准中新增的5元全部落实到乡村和城市社区，主要用于疫情防控工作。医疗卫生机构开展疫情防控工作所需的防护、诊断和治疗专用设备以及快速诊断试剂采购经费，由各级财政予以安排。安排新冠肺炎疫情科研攻关专项经费，支持医院、科研机构、企业开展应急防治技术攻关；安排疫情防控物资采购周转金，用于疫情防控物资储备采购。强化资金保障，各级财政年初卫生防疫经费预算安排不足的,及时调整增加预算安排。统筹一般公共预算、政府性基金预算等财政资金以及社会捐赠资金,进一步优</w:t>
      </w:r>
      <w:r>
        <w:rPr>
          <w:rFonts w:hint="eastAsia" w:ascii="仿宋" w:hAnsi="仿宋" w:eastAsia="仿宋" w:cs="Times New Roman"/>
          <w:kern w:val="0"/>
          <w:sz w:val="32"/>
          <w:szCs w:val="32"/>
        </w:rPr>
        <w:t>化财政支出结构</w:t>
      </w:r>
      <w:r>
        <w:rPr>
          <w:rFonts w:ascii="仿宋" w:hAnsi="仿宋" w:eastAsia="仿宋" w:cs="Times New Roman"/>
          <w:kern w:val="0"/>
          <w:sz w:val="32"/>
          <w:szCs w:val="32"/>
        </w:rPr>
        <w:t>,大力盘活财政存量资金,加大医疗卫生投入力度,优先保障疫情防控经费需求。（责任单位：省财政厅、省工信厅、省科技厅、省卫生健康委、省医保局）</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（八）强化医疗费用保障。对于按照卫生健康部门新冠肺炎诊疗方案确定的确诊、疑似或医学观察人员</w:t>
      </w:r>
      <w:r>
        <w:rPr>
          <w:rFonts w:ascii="仿宋" w:hAnsi="仿宋" w:eastAsia="仿宋" w:cs="Times New Roman"/>
          <w:kern w:val="0"/>
          <w:sz w:val="32"/>
          <w:szCs w:val="32"/>
        </w:rPr>
        <w:t>(包括异地参保患者)的医疗费用，参保地医保部门按基本医保、大病保险、医疗救助等规定支付后，个人负担部分由就医地财政给予补助。对新冠肺炎集中救治定点医疗机构，在实行正常周转金制度的同时，应及时拨付医保专项预付金。救治确诊和疑似患者发生的医疗费用，应在有关医疗机构的医保总额预算指标之外单列预算，不受医保总额预算限制。在足额拨付医保专项预付金的基础上，各定点医疗机构对本地参保患者和异地参保患者均应实施“先救治、后结算”。对纳</w:t>
      </w:r>
      <w:r>
        <w:rPr>
          <w:rFonts w:hint="eastAsia" w:ascii="仿宋" w:hAnsi="仿宋" w:eastAsia="仿宋" w:cs="Times New Roman"/>
          <w:kern w:val="0"/>
          <w:sz w:val="32"/>
          <w:szCs w:val="32"/>
        </w:rPr>
        <w:t>入卫生健康部门制定的确诊或疑似新冠肺炎诊疗方案的药品和诊疗服务项目，可临时性纳入医保基金支付范围。（责任单位：省医保局、省财政厅）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九）落实疫情防治人员临时性工作补助政策。根据国家要求，按照一类补助标准，对直接接触排查病例或确诊病例，诊断、治疗、护理、医院感染控制、病例标本采集和病原检测等相关工作人员，中央财政按照每人每天</w:t>
      </w:r>
      <w:r>
        <w:rPr>
          <w:rFonts w:ascii="仿宋" w:hAnsi="仿宋" w:eastAsia="仿宋" w:cs="Times New Roman"/>
          <w:kern w:val="0"/>
          <w:sz w:val="32"/>
          <w:szCs w:val="32"/>
        </w:rPr>
        <w:t>300元予以补助；对于参加防疫防控的其他医务人员和防疫工作者，中央财政按照每人每天200元予以补助。各级财政先行垫付，待中央财政与省级财政据实结算后拨付资金。（责任单位：省卫生健康委、省财政厅、省人社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（十）强化金融支持。经国家发展改革委、工业和信息化部等部委确定的疫情防控在甘重点保障企业，在人民银行专项再贷款支持金融机构提供优惠利率信贷的基础上，凭借</w:t>
      </w:r>
      <w:r>
        <w:rPr>
          <w:rFonts w:ascii="仿宋" w:hAnsi="仿宋" w:eastAsia="仿宋" w:cs="Times New Roman"/>
          <w:kern w:val="0"/>
          <w:sz w:val="32"/>
          <w:szCs w:val="32"/>
        </w:rPr>
        <w:t>2020年1月1日后疫情防控期内新生效的贷款合同，由中央和省级财政按人民银行再贷款利率给予贴息支持，其中：中央财政贴息50%、省级财政贴息40%，贴息期限不超过1年。经省新冠肺炎疫情防控领导小组物资保障专责组认定的疫情防控重点物资生产类保障企业，在人行兰州中心支行协调银行业金融机构提供优惠利率贷款的基础上，凭借2020年1月1日后疫情防控期内新生效的贷款合同</w:t>
      </w:r>
      <w:r>
        <w:rPr>
          <w:rFonts w:hint="eastAsia" w:ascii="仿宋" w:hAnsi="仿宋" w:eastAsia="仿宋" w:cs="Times New Roman"/>
          <w:kern w:val="0"/>
          <w:sz w:val="32"/>
          <w:szCs w:val="32"/>
        </w:rPr>
        <w:t>，由省级财政按照贷款合同约定优惠贷款利率的</w:t>
      </w:r>
      <w:r>
        <w:rPr>
          <w:rFonts w:ascii="仿宋" w:hAnsi="仿宋" w:eastAsia="仿宋" w:cs="Times New Roman"/>
          <w:kern w:val="0"/>
          <w:sz w:val="32"/>
          <w:szCs w:val="32"/>
        </w:rPr>
        <w:t>50%给予贴息，贴息期限不超过1年。有条件的企业所在地政府可视财政情况给予适当贴息。(责任单位：省财政厅、省发展改革委、省金融监管局、人行兰州中心支行)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一）强化工伤保险政策落实。积极开辟医护人员工伤保险认定绿色通道，简化工作程序，确保相关补贴政策及时落实到位。做好防控疫情中的劳动关系和有关人员工资支付工作，合理安排工作时间和休息休假。因受疫情影响导致停工停产的企业，超过</w:t>
      </w:r>
      <w:r>
        <w:rPr>
          <w:rFonts w:ascii="仿宋" w:hAnsi="仿宋" w:eastAsia="仿宋" w:cs="Times New Roman"/>
          <w:kern w:val="0"/>
          <w:sz w:val="32"/>
          <w:szCs w:val="32"/>
        </w:rPr>
        <w:t>1个工资支付周期没有安排职工工作的，应当按照不低于当地最低工资标准的80%支付职工生活费。（责任单位：省人社厅、省财政厅）</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三、支持重点疫情防控物资企业稳定生产</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二）支持重点物资企业复工复产。支持省内经公告的消杀类产品生产企业，口罩、防护服、测温仪等疫情防护物资生产企业和省上明确的防护物资销售、供给、仓储等企业（单位）以及医疗废弃物处理企业复工复产、增加产能，对相关释放产能的项目给予政策支持。对以上</w:t>
      </w:r>
      <w:r>
        <w:rPr>
          <w:rFonts w:ascii="仿宋" w:hAnsi="仿宋" w:eastAsia="仿宋" w:cs="Times New Roman"/>
          <w:kern w:val="0"/>
          <w:sz w:val="32"/>
          <w:szCs w:val="32"/>
        </w:rPr>
        <w:t>4类企业（单位）申报的项目，在2020年省级工业和信息产业专项资金安排时，对符合支持方向的优先予以支持。重点保障抗疫情物资生产供应企业的用工、原材料等需求。（责任单位：省发展改革委、省工信厅、省政府国资委、省生态环境厅）</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三）全面落实减费降税政策。对医用防护服、口罩、医用护目镜等疫情防控物资生产企业，全面落实减税降费、优先办理增值税留抵税退额、优先核准延期缴纳税款等政策措施。（责任单位：省税务局、省财政厅、省工信厅、省政府国资委）</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四）畅通防控物资运输通道。开辟绿色通道，确保重点物资实现在铁路、公路优先装车、优先挂运、优先配送，在机场“零延时”验放交付。将蔬菜、商品畜禽、禽蛋、生鲜乳等运输车辆纳入应急物资供应绿色通道。做好防控应急物资及人员运输车辆免费通行服务保障工作，确保抗击疫情应急物资和人员运输的畅通。（责任单位：省交通运输厅、中国铁路兰州局集团有限公司、省农业农村厅、兰州海关）</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四、强化重点人群管控</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五）强化重点人群摸排。各级党委政府要认真落实属地责任，乡镇、街道党委政府要定责、定人、定措施，按网格化管理要求严格落实来甘返甘人员摸排工作。充分发挥基层组织动员能力，紧盯重点地区来甘返甘的务工人员及学生等重点人群，以街道（乡镇）和社区（村）干部、医疗服务机构和家庭医生为主，组织专兼职相结合的工作队伍，实施网格化、地毯式、全覆盖摸排，建立异常情况通报及报告制度，全面落实早发现、早报告、早隔离、早诊断、早治疗的“五早”措施。（责任单位：省卫生健康委，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六）规范居家隔离防护措施。为居家隔离人员配备“五个一”（一支体温计、一瓶消毒液、一本宣传册、一个口罩、一张表格），每日定时填报测温表格，由社区医生或村医定时收回。规范居家隔离标准，居家隔离对象必须单人单间，不与家人同住，尽可能减少与家人接触，必须接触时保持一定距离。居家隔离人员原则上不得离家外出，如果必须外出，需经村医或社区卫生服务中心医疗卫生人员批准，做好相应防护措施，不得去人群密集场所。（责任单位：省卫生健康委，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七）加强集中隔离医学观察点管理。对确诊病例、疑似病例的密切接触者，必须执行县域内集中隔离，由各县市区统一设置集中隔离点，规范开展集中医学观察，采样进行核酸检测。全面开展流行病学调查，强化疫情监测，并提供中医药预防服务。对隔离对象出现发热、咳嗽、乏力等情况的，立即送定点医疗机构开展进一步检查或隔离治疗等工作。（责任单位：省卫生健康委，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（十八）利用大数据手段精准管控。开发运用甘肃省电信大数据系统，将目标人群数量、分布精准锁定至街道（乡镇）、社区（村组）进行精确管控。（责任单位：省通信管理局、省自然资源厅，各市州政府）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（十九）加强“互联网</w:t>
      </w:r>
      <w:r>
        <w:rPr>
          <w:rFonts w:ascii="仿宋" w:hAnsi="仿宋" w:eastAsia="仿宋" w:cs="Times New Roman"/>
          <w:kern w:val="0"/>
          <w:sz w:val="32"/>
          <w:szCs w:val="32"/>
        </w:rPr>
        <w:t>+医疗健康”应用。完善疫情监控系统，精准统计全省定点医疗机构发热、确诊、疑似患者情况和床位预留、人员配备等情况。完善来甘返甘疑似人员摸排手机APP，落实网格化摸排及实时填报管理。完善新冠肺炎自查上报平台，方便有武汉旅居史或密切接触史人员第一时间自行上报病情。完善疫情防控网上咨询问诊平台，提供在线咨询问诊、就医指导和心理疏导服务。（责任单位：省卫生健康委，各市州政府）</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五、着力提高患者治愈率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全力开展医疗救治。按照“四集中”原则，将确诊病例统一集中到市级集中救治定点医院救治。统筹兼顾，分类指导，在做好轻型、普通型病例救治工作的同时，提高患者特别是重症患者救治水平，集中优势医疗资源和技术力量救治患者，将重型病例在集中到市级集中救治定点医院救治的基础上，组织省级专家团队包案救治，加强技术指导。将危重型病例统一集中到省级定点医院集中救治，派出省级专家加强重型和危重型病例技术指导，实行“一人一案”“一人一团队”，最大限度保障患者生命安全。（责任单位：省卫生健康委，各市州政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一）强化中西医结合。充分发挥中医药在疾病预防、治疗、康复中的独特优势，为集中医学观察的密切接触者提供中医药预防服务。强化中西医结合，促进中医药深度介入诊疗全过程，及时推广有效方药和中成药。注重中医治疗病历收集和分析，及时评估治疗效果，总结疗效好的中成药和中药处方，为进一步调整完善中医药诊疗方案提供支撑，提高治愈率、降低死亡率。（责任单位：省卫生健康委，各市州政府）</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六、保障市场稳定运行</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二）稳定生活必需品供应。强化政府储备，提高政府市场调控能力，切实发挥储备保供稳价作用。密切跟踪粮油市场动态，加强成品粮油储备，保障供给平稳、价格稳定。落实应急保供骨干企业和应急商品投放网点，配合有关部门建立保供联动机制，开拓防护用品进口渠道等应急保供措施。（责任单位：省商务厅、省发展改革委）</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十三）加强市场监管。严格落实禁止活禽市场销售、禁止野生动物违法违规交易等措施，强化从野生动物养殖到餐桌消费的全流程管控。严格依法行政，严肃查处借疫情防控之机囤积居奇、捏造散布涨价信息、哄抬物价等扰乱市场价格秩序的违法行为，努力营造公平有序的市场环境。（责任单位：省市场监管局、省林草局、省公安厅、省农业农村厅、省卫生健康委）</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作者：</w:t>
      </w:r>
      <w:r>
        <w:rPr>
          <w:rFonts w:ascii="仿宋" w:hAnsi="仿宋" w:eastAsia="仿宋" w:cs="Times New Roman"/>
          <w:kern w:val="0"/>
          <w:sz w:val="32"/>
          <w:szCs w:val="32"/>
        </w:rPr>
        <w:t>甘肃省新型冠状病毒肺炎疫情联防联控领导小组办公室</w:t>
      </w:r>
      <w:bookmarkStart w:id="203" w:name="_Toc34127497"/>
      <w:r>
        <w:rPr>
          <w:rFonts w:hint="eastAsia" w:ascii="仿宋" w:hAnsi="仿宋" w:eastAsia="仿宋" w:cs="宋体"/>
          <w:b/>
          <w:bCs/>
          <w:color w:val="333333"/>
          <w:kern w:val="0"/>
          <w:sz w:val="32"/>
          <w:szCs w:val="32"/>
        </w:rPr>
        <w:t xml:space="preserve">    </w:t>
      </w:r>
      <w:bookmarkEnd w:id="203"/>
    </w:p>
    <w:p>
      <w:pPr>
        <w:widowControl/>
        <w:shd w:val="clear" w:color="auto" w:fill="FFFFFF"/>
        <w:spacing w:line="795" w:lineRule="atLeast"/>
        <w:jc w:val="center"/>
        <w:outlineLvl w:val="1"/>
        <w:rPr>
          <w:rFonts w:ascii="仿宋" w:hAnsi="仿宋" w:eastAsia="仿宋" w:cs="宋体"/>
          <w:b/>
          <w:bCs/>
          <w:kern w:val="36"/>
          <w:sz w:val="32"/>
          <w:szCs w:val="32"/>
        </w:rPr>
      </w:pPr>
      <w:bookmarkStart w:id="204" w:name="_Toc34141502"/>
      <w:bookmarkStart w:id="205" w:name="_Toc34127492"/>
      <w:r>
        <w:rPr>
          <w:rFonts w:hint="eastAsia" w:ascii="仿宋" w:hAnsi="仿宋" w:eastAsia="仿宋" w:cs="宋体"/>
          <w:b/>
          <w:bCs/>
          <w:kern w:val="36"/>
          <w:sz w:val="32"/>
          <w:szCs w:val="32"/>
        </w:rPr>
        <w:t>国家税务总局甘肃省税务局关于做好支持企业复工复产工作的通知</w:t>
      </w:r>
      <w:bookmarkEnd w:id="204"/>
      <w:bookmarkEnd w:id="205"/>
    </w:p>
    <w:p>
      <w:pPr>
        <w:widowControl/>
        <w:shd w:val="clear" w:color="auto" w:fill="FFFFFF"/>
        <w:spacing w:before="150" w:after="100" w:afterAutospacing="1" w:line="450" w:lineRule="atLeast"/>
        <w:jc w:val="left"/>
        <w:rPr>
          <w:rFonts w:ascii="仿宋" w:hAnsi="仿宋" w:eastAsia="仿宋" w:cs="宋体"/>
          <w:kern w:val="0"/>
          <w:sz w:val="32"/>
          <w:szCs w:val="32"/>
        </w:rPr>
      </w:pPr>
      <w:r>
        <w:rPr>
          <w:rFonts w:hint="eastAsia" w:ascii="仿宋" w:hAnsi="仿宋" w:eastAsia="仿宋" w:cs="宋体"/>
          <w:kern w:val="0"/>
          <w:sz w:val="32"/>
          <w:szCs w:val="32"/>
        </w:rPr>
        <w:t>产业开发区、兰州经济技术开发区税务局，局内各单位：</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为认真贯彻习近平总书记关于支持疫情防控和企业复工复产重要指示精神,全面落实《中共甘肃省委 甘肃省人民政府关于坚决打赢新冠肺炎疫情防控阻击战促进经济持续健康发展的若干意见》和2月18日省委常委会议精神，全力支持和推动受新冠肺炎疫情影响的各类企业复工复产，现将相关事项通知如下：</w:t>
      </w:r>
    </w:p>
    <w:p>
      <w:pPr>
        <w:widowControl/>
        <w:shd w:val="clear" w:color="auto" w:fill="FFFFFF"/>
        <w:spacing w:before="150" w:after="100" w:afterAutospacing="1" w:line="450" w:lineRule="atLeast"/>
        <w:ind w:firstLine="480"/>
        <w:jc w:val="left"/>
        <w:outlineLvl w:val="0"/>
        <w:rPr>
          <w:rFonts w:ascii="仿宋" w:hAnsi="仿宋" w:eastAsia="仿宋" w:cs="宋体"/>
          <w:kern w:val="0"/>
          <w:sz w:val="32"/>
          <w:szCs w:val="32"/>
        </w:rPr>
      </w:pPr>
      <w:r>
        <w:rPr>
          <w:rFonts w:hint="eastAsia" w:ascii="仿宋" w:hAnsi="仿宋" w:eastAsia="仿宋" w:cs="宋体"/>
          <w:kern w:val="0"/>
          <w:sz w:val="32"/>
          <w:szCs w:val="32"/>
        </w:rPr>
        <w:t>一、充分认识当前做好支持企业复工复产工作的重要性</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当前，我省疫情防控进入新阶段，根据当前形势, 统筹做好疫情防控和支持企业复工复产是打赢防控阻击战的关键所在和迫切需要。全省各级税务机关应当充分认识到支持复工复产对战胜疫情、保障经济社会稳定发展的重要意义。各级税务机关要坚持“两手抓”，在统筹做好疫情防控的同时，及时跟踪企业的复工复产动态，加速推进落实疫情防控各项税收优惠政策，巩固和拓展减税降费成效，强力有序助推企业复工复产，全力支持经济社会平稳健康发展。</w:t>
      </w:r>
    </w:p>
    <w:p>
      <w:pPr>
        <w:widowControl/>
        <w:shd w:val="clear" w:color="auto" w:fill="FFFFFF"/>
        <w:spacing w:before="150" w:after="100" w:afterAutospacing="1" w:line="450" w:lineRule="atLeast"/>
        <w:ind w:firstLine="480"/>
        <w:jc w:val="left"/>
        <w:outlineLvl w:val="0"/>
        <w:rPr>
          <w:rFonts w:ascii="仿宋" w:hAnsi="仿宋" w:eastAsia="仿宋" w:cs="宋体"/>
          <w:kern w:val="0"/>
          <w:sz w:val="32"/>
          <w:szCs w:val="32"/>
        </w:rPr>
      </w:pPr>
      <w:r>
        <w:rPr>
          <w:rFonts w:hint="eastAsia" w:ascii="仿宋" w:hAnsi="仿宋" w:eastAsia="仿宋" w:cs="宋体"/>
          <w:kern w:val="0"/>
          <w:sz w:val="32"/>
          <w:szCs w:val="32"/>
        </w:rPr>
        <w:t>二、积极作为参与地方政府支持企业复工复产工作</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（一）建立非常时期工作联络机制。各级税务机关要安排一名局领导作为联络员参与地方政府支持复工复产领导工作，及时掌握重点企业名单情况和地方党委政府的最新工作要求，精心支持企业复工复产。</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二）建立联系户制度。各级税务局党委委员至少要联系一户复工复产企业作为联系点，加强调研，直接掌握一线情况，直接收集和听取复工企业意见建议，协调解决税收问题或者向有关部门反映企业困难，扶持企业渡过难关。</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三）运用税收大数据加强复工复产情况分析。各级税务机关要充分发挥增值税发票等税收数据在全面反映行业和企业生产经营情况方面的独特优势，聚焦企业复工复产主题，利用增值税发票数据开展时间、区域、行业、产业、规模、注册类型、上下游关系等的多维度分析和专题分析，认真研判现状和趋势，为各级政府组织复工复产决策提供参考。要加强已复工复产企业经营情况的分析，既算好企业受疫情影响的眼前账，也算好减税降费带来的效益账，便于精准施策，加大对受疫情影响企业的纾困帮扶。省局确定一名局领导负责，建立以税收经济分析部门牵头，收规、货劳、法规等部门参与的分析团队，加强全省企业复工、经济运行情况的分析，研判疫情对我省经济税源的影响，向省委省政府提出调结构、稳增长的可行性建议。各市州区税务局要主动作为，按照省局部署和要求，健全工作机制，强化工作保障，认真开展分析工作。</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四）发挥一线税务机构的作用。各级税源管理部门要通过多种方式了解辖区税源企业复工复产情况及有关诉求，认真落实省局有关通知要求，对企业办税服务方面的需求，积极主动予以协调解决。对各级重点税源企业复工复产情况及有关诉求，主动向当地党委政府汇报沟通。对2020年1月1日后执行的疫情防控有关政策，纳税人因之前不了解政策，已申报或缴纳税款的，通知变更申报或办理退税。</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五）主动对接相关部门获取支持。对新建、停业复产的疫情防控重点保障物资生产企业在新办、变更及停工复产过程中时间紧任务重等问题，会同市场监管、行政审批机关迅速为企业依法办理税务登记、发票领用等涉税事项，助力企业尽快复工、安心复产。各地可以抽调业务骨干组成“暖企抗疫”服务团队，坚持“一企一策”，及时做好税收服务。</w:t>
      </w:r>
    </w:p>
    <w:p>
      <w:pPr>
        <w:widowControl/>
        <w:shd w:val="clear" w:color="auto" w:fill="FFFFFF"/>
        <w:spacing w:before="150" w:after="100" w:afterAutospacing="1" w:line="450" w:lineRule="atLeast"/>
        <w:ind w:firstLine="480"/>
        <w:jc w:val="left"/>
        <w:outlineLvl w:val="0"/>
        <w:rPr>
          <w:rFonts w:ascii="仿宋" w:hAnsi="仿宋" w:eastAsia="仿宋" w:cs="宋体"/>
          <w:kern w:val="0"/>
          <w:sz w:val="32"/>
          <w:szCs w:val="32"/>
        </w:rPr>
      </w:pPr>
      <w:r>
        <w:rPr>
          <w:rFonts w:hint="eastAsia" w:ascii="仿宋" w:hAnsi="仿宋" w:eastAsia="仿宋" w:cs="宋体"/>
          <w:kern w:val="0"/>
          <w:sz w:val="32"/>
          <w:szCs w:val="32"/>
        </w:rPr>
        <w:t>三、认真落实税收支持政策措施</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一）全面落实阶段性减免社会保险费优惠政策。贯彻落实国务院常务会议要求，严格按照省委省政府和税务总局关于减税降费的决策部署，配合人社、医保、财政部门共同落实好阶段性减免社会保险费优惠政策。</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二）全力支持重点物资生产企业。及时与当地发改、工信等部门加强信息交流、强化协同配合，及时获取、动态更新疫情防控重点保障物资生产企业名单，开通政务服务“绿色通道”，做到急事急办、特事特办，全力支持疫情防控重点物资稳产保供。对疫情防控物资生产等重点企业，逐一登记造册、逐一了解诉求、逐一辅导政策，优先落实减税降费政策、优先加快办理增值税留抵退税、核准延期缴纳税款，确保新政策不折不扣惠及企业。</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三）支持中小微企业。对中小微企业要主动联系获取其开工复工中存在的问题，对申报纳税、缴纳税款确有困难的，依法办理延期申报和延期缴纳税款。认真执行省局相关通知要求，加快办理出口退税。符合条件的，及时依法调整定期定额个体工商户的纳税定额。</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（四）加强“银税互动”精准扶持。针对部分行业受疫情影响较大，经营资金紧张的实际困难，主动与金融部门进行专项沟通，加强“银税互动”精准扶持。</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五）加强政策宣传。要加强对新购设备一次性企业所得税税前扣除、全额退还增值税增量留抵税额等支持物资供应、支持防治救护、鼓励公益捐赠各项疫情防控税收优惠政策宣传，以及延长社保、医保参保缴费期限等惠民政策的宣传。对减免企业税费等关键涉税业务要进行重点细化，形成支持中小企业复工复产的“组合拳”政策措施和“一揽子”帮扶计划。要掌握本辖区“四大困难行业”企业名单，主动联系企业，主动推送政策，精准落实，帮助享受。</w:t>
      </w:r>
    </w:p>
    <w:p>
      <w:pPr>
        <w:widowControl/>
        <w:shd w:val="clear" w:color="auto" w:fill="FFFFFF"/>
        <w:spacing w:before="150" w:after="100" w:afterAutospacing="1" w:line="450" w:lineRule="atLeast"/>
        <w:ind w:firstLine="480"/>
        <w:jc w:val="left"/>
        <w:outlineLvl w:val="0"/>
        <w:rPr>
          <w:rFonts w:ascii="仿宋" w:hAnsi="仿宋" w:eastAsia="仿宋" w:cs="宋体"/>
          <w:kern w:val="0"/>
          <w:sz w:val="32"/>
          <w:szCs w:val="32"/>
        </w:rPr>
      </w:pPr>
      <w:r>
        <w:rPr>
          <w:rFonts w:hint="eastAsia" w:ascii="仿宋" w:hAnsi="仿宋" w:eastAsia="仿宋" w:cs="宋体"/>
          <w:kern w:val="0"/>
          <w:sz w:val="32"/>
          <w:szCs w:val="32"/>
        </w:rPr>
        <w:t>四、扎实开展“非接触式”办税缴费服务</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一）大力宣传“非接触式”办税服务事项。认真落实为企业领票提供“网上申请、免费配送”等“非接触式”涉税服务事项，将新近出台的抗击疫情优惠政策和“非接触式”服务管理举措梳理形成《防控疫情税收优惠政策、服务措施指引》，通过税务微信公众号推送给企业。</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二）不折不扣落实好税收优惠“不来即享”工作机制。要优化电子税务局平台，落实好防控疫情税收优惠政策网上办理。要积极宣传引导纳税人采取“纳税人自行判别、自主申报享受、相关资料留存备查”办理方式实现享受税收优惠“零门槛”，确保企业疫情防控、减税降费税收优惠政策应享尽享、应享快享。</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三）快速响应发票供应需求。对落实政府要求，有序进行复工复产的生产企业申请增值税发票“增版”“增量”的，按纳税人生产经营需要，调整其发票领用数量和最高开票限额，暂不事前实地查验。除D级纳税人以外，全面推行发票领用网上自主申领、免费邮寄配送，实现发票领用“网上办、线下送、不见面”。</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四）便利申报纳税。在全面贯彻落实《国家税务总局关于进一步延长2020年2月份纳税申报期限有关事项的通知》（税总函〔2020〕27号）的基础上，对受疫情影响到2月28日仍无法办理纳税申报或延期申报纳税人，在纳税人书面说明正当理由后，补办延期申报手续并同时办理纳税申报。</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（五）大力优化现场办税缴费服务。严格落实办税服务厅办税体温检测、室内通风、卫生防疫、清洁消毒等措施，营造安全高效便捷的办理环境。落实首问责任制，提高办税效率，减少纳税人逗留时间。</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六）方便重点企业办税。对重点保障物资生产企业和地方复工复产的重点企业，提供绿色通道服务或者上门服务，第一时间为其办理相关事宜。推行容缺办理，对已实名认证的纳税人，提交资料不齐全但不影响实质性审核的，在纳税人承诺的前提下，先办理、后核查。</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七）优化税务执法方式。减少或推迟直接入户检查，对需要到纳税人生产经营所在地进行现场调查核实的事项，延至疫情得到控制或结束后办理。疫情响应期间，不得对疫情防控物资生产企业、物流服务、生活超市、集贸市场等与抗疫密切相关的企业和单位进行税务检查。</w:t>
      </w:r>
    </w:p>
    <w:p>
      <w:pPr>
        <w:widowControl/>
        <w:shd w:val="clear" w:color="auto" w:fill="FFFFFF"/>
        <w:spacing w:before="150" w:after="100" w:afterAutospacing="1" w:line="450" w:lineRule="atLeast"/>
        <w:ind w:firstLine="480"/>
        <w:jc w:val="left"/>
        <w:outlineLvl w:val="0"/>
        <w:rPr>
          <w:rFonts w:ascii="仿宋" w:hAnsi="仿宋" w:eastAsia="仿宋" w:cs="宋体"/>
          <w:kern w:val="0"/>
          <w:sz w:val="32"/>
          <w:szCs w:val="32"/>
        </w:rPr>
      </w:pPr>
      <w:r>
        <w:rPr>
          <w:rFonts w:hint="eastAsia" w:ascii="仿宋" w:hAnsi="仿宋" w:eastAsia="仿宋" w:cs="宋体"/>
          <w:kern w:val="0"/>
          <w:sz w:val="32"/>
          <w:szCs w:val="32"/>
        </w:rPr>
        <w:t>五、强化组织领导</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一）狠抓工作落实。全省各级税务机关要切实履行政治责任，坚持疫情防控和复工复产两手抓、两不误、两促进。主要领导作为第一责任人，要深入一线、靠前指挥，对照税务总局、省委省政府、省局关于疫情防控和支持复工复产系列文件安排，在抓实抓细上下功夫，找准职责定位，细化任务分工，建立健全抓落实的责任体系和工作台账，明确责任人，逐条逐项落实、逐条逐项销号。不等不靠，对新出台的政策，在接到正式文件之前，可根据官方网站公布的政策条款先行办理。</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二）强化工作督查。坚持问题导向，对各单位开展疫情防控和支持复工复产进行督查。对工作措施落实不到位、打折扣、作选择，对工作不担当不作为、消极应对、推诿扯皮，以及乱作为、乱设卡的行为，依法依规严肃查处。省局将通过实地检查、调研、12366纳税服务热线、税务网站、局长信箱等渠道收集问题，切实推动税务总局、省委省政府决策部署不折不扣落实到位。</w:t>
      </w:r>
    </w:p>
    <w:p>
      <w:pPr>
        <w:widowControl/>
        <w:shd w:val="clear" w:color="auto" w:fill="FFFFFF"/>
        <w:spacing w:before="150" w:after="100" w:afterAutospacing="1" w:line="450" w:lineRule="atLeast"/>
        <w:ind w:firstLine="480"/>
        <w:jc w:val="left"/>
        <w:rPr>
          <w:rFonts w:ascii="仿宋" w:hAnsi="仿宋" w:eastAsia="仿宋" w:cs="宋体"/>
          <w:kern w:val="0"/>
          <w:sz w:val="32"/>
          <w:szCs w:val="32"/>
        </w:rPr>
      </w:pPr>
      <w:r>
        <w:rPr>
          <w:rFonts w:hint="eastAsia" w:ascii="仿宋" w:hAnsi="仿宋" w:eastAsia="仿宋" w:cs="宋体"/>
          <w:kern w:val="0"/>
          <w:sz w:val="32"/>
          <w:szCs w:val="32"/>
        </w:rPr>
        <w:t>各级税务机关可根据本地区疫情防控实际情况，创新细化具体的服务举措。对执行中遇到的问题，请及时向省局（政策法规处）报告。</w:t>
      </w:r>
    </w:p>
    <w:p>
      <w:pPr>
        <w:widowControl/>
        <w:shd w:val="clear" w:color="auto" w:fill="FFFFFF"/>
        <w:spacing w:before="150" w:after="100" w:afterAutospacing="1" w:line="450" w:lineRule="atLeast"/>
        <w:ind w:firstLine="480"/>
        <w:jc w:val="right"/>
        <w:rPr>
          <w:rFonts w:ascii="仿宋" w:hAnsi="仿宋" w:eastAsia="仿宋" w:cs="宋体"/>
          <w:kern w:val="0"/>
          <w:sz w:val="32"/>
          <w:szCs w:val="32"/>
        </w:rPr>
      </w:pPr>
      <w:r>
        <w:rPr>
          <w:rFonts w:hint="eastAsia" w:ascii="仿宋" w:hAnsi="仿宋" w:eastAsia="仿宋" w:cs="宋体"/>
          <w:kern w:val="0"/>
          <w:sz w:val="32"/>
          <w:szCs w:val="32"/>
        </w:rPr>
        <w:t>国家税务总局甘肃省税务局</w:t>
      </w:r>
    </w:p>
    <w:p>
      <w:pPr>
        <w:widowControl/>
        <w:shd w:val="clear" w:color="auto" w:fill="FFFFFF"/>
        <w:spacing w:before="150" w:after="100" w:afterAutospacing="1" w:line="450" w:lineRule="atLeast"/>
        <w:ind w:firstLine="480"/>
        <w:jc w:val="right"/>
        <w:rPr>
          <w:rFonts w:ascii="仿宋" w:hAnsi="仿宋" w:eastAsia="仿宋" w:cs="宋体"/>
          <w:kern w:val="0"/>
          <w:sz w:val="32"/>
          <w:szCs w:val="32"/>
        </w:rPr>
      </w:pPr>
      <w:r>
        <w:rPr>
          <w:rFonts w:hint="eastAsia" w:ascii="仿宋" w:hAnsi="仿宋" w:eastAsia="仿宋" w:cs="宋体"/>
          <w:kern w:val="0"/>
          <w:sz w:val="32"/>
          <w:szCs w:val="32"/>
        </w:rPr>
        <w:t>2020年2月21日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263"/>
        <w:adjustRightInd w:val="0"/>
        <w:snapToGrid w:val="0"/>
        <w:spacing w:after="0" w:line="360" w:lineRule="auto"/>
        <w:outlineLvl w:val="0"/>
        <w:rPr>
          <w:rFonts w:ascii="仿宋" w:hAnsi="仿宋" w:eastAsia="仿宋"/>
          <w:color w:val="000000" w:themeColor="text1"/>
          <w:sz w:val="32"/>
          <w:szCs w:val="32"/>
        </w:rPr>
      </w:pPr>
      <w:bookmarkStart w:id="206" w:name="_Toc34141503"/>
      <w:r>
        <w:rPr>
          <w:rFonts w:hint="eastAsia" w:ascii="仿宋" w:hAnsi="仿宋" w:eastAsia="仿宋"/>
          <w:color w:val="000000" w:themeColor="text1"/>
          <w:sz w:val="32"/>
          <w:szCs w:val="32"/>
        </w:rPr>
        <w:t>（二十七）青海省</w:t>
      </w:r>
      <w:bookmarkEnd w:id="206"/>
    </w:p>
    <w:p>
      <w:pPr>
        <w:keepNext/>
        <w:keepLines/>
        <w:adjustRightInd w:val="0"/>
        <w:snapToGrid w:val="0"/>
        <w:spacing w:line="360" w:lineRule="auto"/>
        <w:ind w:firstLine="643" w:firstLineChars="200"/>
        <w:outlineLvl w:val="2"/>
        <w:rPr>
          <w:rFonts w:ascii="仿宋" w:hAnsi="仿宋" w:eastAsia="仿宋"/>
          <w:b/>
          <w:sz w:val="32"/>
          <w:szCs w:val="32"/>
        </w:rPr>
      </w:pPr>
      <w:bookmarkStart w:id="207" w:name="_Toc33868339"/>
      <w:bookmarkStart w:id="208" w:name="_Toc34141504"/>
      <w:r>
        <w:rPr>
          <w:rFonts w:hint="eastAsia" w:ascii="仿宋" w:hAnsi="仿宋" w:eastAsia="仿宋"/>
          <w:b/>
          <w:sz w:val="32"/>
          <w:szCs w:val="32"/>
        </w:rPr>
        <w:t>无更新</w:t>
      </w:r>
      <w:bookmarkEnd w:id="207"/>
      <w:bookmarkEnd w:id="208"/>
    </w:p>
    <w:p>
      <w:pPr>
        <w:adjustRightInd w:val="0"/>
        <w:snapToGrid w:val="0"/>
        <w:spacing w:line="360" w:lineRule="auto"/>
        <w:ind w:firstLine="640" w:firstLineChars="200"/>
        <w:jc w:val="lef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209" w:name="_Toc34141505"/>
      <w:r>
        <w:rPr>
          <w:rFonts w:hint="eastAsia" w:ascii="仿宋" w:hAnsi="仿宋" w:eastAsia="仿宋"/>
          <w:color w:val="000000" w:themeColor="text1"/>
          <w:sz w:val="32"/>
          <w:szCs w:val="32"/>
        </w:rPr>
        <w:t>（二十八）宁夏回族自治区</w:t>
      </w:r>
      <w:bookmarkEnd w:id="209"/>
    </w:p>
    <w:p>
      <w:pPr>
        <w:pStyle w:val="830"/>
        <w:adjustRightInd w:val="0"/>
        <w:snapToGrid w:val="0"/>
        <w:spacing w:before="0" w:after="0" w:line="360" w:lineRule="auto"/>
        <w:jc w:val="center"/>
        <w:rPr>
          <w:rFonts w:ascii="仿宋" w:hAnsi="仿宋" w:eastAsia="仿宋" w:cs="Times New Roman"/>
          <w:bCs w:val="0"/>
          <w:kern w:val="0"/>
        </w:rPr>
      </w:pPr>
      <w:bookmarkStart w:id="210" w:name="_Toc34141506"/>
      <w:bookmarkStart w:id="211" w:name="_Toc33451141"/>
      <w:r>
        <w:rPr>
          <w:rFonts w:hint="eastAsia" w:ascii="仿宋" w:hAnsi="仿宋" w:eastAsia="仿宋" w:cs="Times New Roman"/>
          <w:bCs w:val="0"/>
          <w:kern w:val="0"/>
        </w:rPr>
        <w:t>国家税务总局宁夏回族自治区税务局关于进一步延长</w:t>
      </w:r>
      <w:r>
        <w:rPr>
          <w:rFonts w:ascii="仿宋" w:hAnsi="仿宋" w:eastAsia="仿宋" w:cs="Times New Roman"/>
          <w:bCs w:val="0"/>
          <w:kern w:val="0"/>
        </w:rPr>
        <w:t>2020年2月份纳税申报期限有关事项的通告</w:t>
      </w:r>
      <w:bookmarkEnd w:id="210"/>
      <w:bookmarkEnd w:id="211"/>
    </w:p>
    <w:p>
      <w:pPr>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尊敬的纳税人、缴费人：</w:t>
      </w:r>
      <w:r>
        <w:rPr>
          <w:rFonts w:ascii="仿宋" w:hAnsi="仿宋" w:eastAsia="仿宋" w:cs="Times New Roman"/>
          <w:kern w:val="0"/>
          <w:sz w:val="32"/>
          <w:szCs w:val="32"/>
        </w:rPr>
        <w:t xml:space="preserve"> </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为进一步支持疫情防控工作和企业复工复产，切实加强您的安全防护，根据《国家税务总局关于进一步延长</w:t>
      </w:r>
      <w:r>
        <w:rPr>
          <w:rFonts w:ascii="仿宋" w:hAnsi="仿宋" w:eastAsia="仿宋" w:cs="Times New Roman"/>
          <w:kern w:val="0"/>
          <w:sz w:val="32"/>
          <w:szCs w:val="32"/>
        </w:rPr>
        <w:t>2020年2月份纳税申报期限有关事项的通知 》（税总函〔2020〕27号）要求，2020年2月份纳税申报期限进一步延至2月28日（星期五）。受疫情影响到2月28日仍无法办理纳税申报或延期申报的纳税人、缴费人，可在及时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让您降低风险，保护自身，宁夏区税务局提示您：办理业务时尽量选择宁夏回族自治区电子税务局、自然人扣缴客户端、税邮云，邮寄等“非接触式”的网上办理途径，减少赴办税服务厅实体窗口现场办税次数，最大程度降低交叉感染风险。</w:t>
      </w:r>
    </w:p>
    <w:p>
      <w:pPr>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特此通告。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国家税务总局宁夏回族自治区税务局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2020年2月18日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widowControl/>
        <w:spacing w:line="675" w:lineRule="atLeast"/>
        <w:jc w:val="center"/>
        <w:outlineLvl w:val="1"/>
        <w:rPr>
          <w:rFonts w:ascii="仿宋" w:hAnsi="仿宋" w:eastAsia="仿宋" w:cs="宋体"/>
          <w:b/>
          <w:bCs/>
          <w:color w:val="333333"/>
          <w:kern w:val="0"/>
          <w:sz w:val="32"/>
          <w:szCs w:val="32"/>
        </w:rPr>
      </w:pPr>
      <w:r>
        <w:rPr>
          <w:rFonts w:hint="eastAsia" w:ascii="仿宋" w:hAnsi="仿宋" w:eastAsia="仿宋" w:cs="宋体"/>
          <w:b/>
          <w:bCs/>
          <w:color w:val="333333"/>
          <w:kern w:val="0"/>
          <w:sz w:val="32"/>
          <w:szCs w:val="32"/>
        </w:rPr>
        <w:t xml:space="preserve">    </w:t>
      </w:r>
      <w:bookmarkStart w:id="212" w:name="_Toc34141507"/>
      <w:r>
        <w:rPr>
          <w:rFonts w:hint="eastAsia" w:ascii="仿宋" w:hAnsi="仿宋" w:eastAsia="仿宋" w:cs="宋体"/>
          <w:b/>
          <w:bCs/>
          <w:color w:val="333333"/>
          <w:kern w:val="0"/>
          <w:sz w:val="32"/>
          <w:szCs w:val="32"/>
        </w:rPr>
        <w:t xml:space="preserve">国家税务总局宁夏回族自治区税务局 宁夏回族自治区人力资源和社会保障厅关于新冠肺炎疫情防控期间缓缴社会保险费有关事项的通告 </w:t>
      </w:r>
      <w:bookmarkStart w:id="213" w:name="_Toc34127498"/>
      <w:r>
        <w:rPr>
          <w:rFonts w:hint="eastAsia" w:ascii="仿宋" w:hAnsi="仿宋" w:eastAsia="仿宋" w:cs="宋体"/>
          <w:b/>
          <w:bCs/>
          <w:color w:val="333333"/>
          <w:kern w:val="0"/>
          <w:sz w:val="32"/>
          <w:szCs w:val="32"/>
        </w:rPr>
        <w:t>（</w:t>
      </w:r>
      <w:r>
        <w:rPr>
          <w:rFonts w:hint="eastAsia" w:ascii="仿宋" w:hAnsi="仿宋" w:eastAsia="仿宋" w:cs="宋体"/>
          <w:kern w:val="0"/>
          <w:sz w:val="32"/>
          <w:szCs w:val="32"/>
        </w:rPr>
        <w:t>2020年第4号</w:t>
      </w:r>
      <w:r>
        <w:rPr>
          <w:rFonts w:hint="eastAsia" w:ascii="仿宋" w:hAnsi="仿宋" w:eastAsia="仿宋" w:cs="宋体"/>
          <w:b/>
          <w:bCs/>
          <w:color w:val="333333"/>
          <w:kern w:val="0"/>
          <w:sz w:val="32"/>
          <w:szCs w:val="32"/>
        </w:rPr>
        <w:t>）</w:t>
      </w:r>
      <w:bookmarkEnd w:id="212"/>
      <w:bookmarkEnd w:id="213"/>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为切实做好疫情防控期间的社会保险费缴纳工作，根据《自治区人民政府办公厅印发关于应对新型冠状病毒肺炎疫情影响促进中小微企业健康发展的若干措施的通知》（宁政办规发〔2020〕2号）规定，现就我区企业延期缴纳社会保险费有关事项通告如下：</w:t>
      </w:r>
    </w:p>
    <w:p>
      <w:pPr>
        <w:widowControl/>
        <w:spacing w:before="100" w:beforeAutospacing="1" w:after="150" w:line="480" w:lineRule="atLeast"/>
        <w:ind w:firstLine="480"/>
        <w:jc w:val="left"/>
        <w:outlineLvl w:val="0"/>
        <w:rPr>
          <w:rFonts w:ascii="仿宋" w:hAnsi="仿宋" w:eastAsia="仿宋" w:cs="宋体"/>
          <w:color w:val="333333"/>
          <w:kern w:val="0"/>
          <w:sz w:val="32"/>
          <w:szCs w:val="32"/>
        </w:rPr>
      </w:pPr>
      <w:r>
        <w:rPr>
          <w:rFonts w:hint="eastAsia" w:ascii="仿宋" w:hAnsi="仿宋" w:eastAsia="仿宋" w:cs="宋体"/>
          <w:b/>
          <w:bCs/>
          <w:color w:val="333333"/>
          <w:kern w:val="0"/>
          <w:sz w:val="32"/>
          <w:szCs w:val="32"/>
        </w:rPr>
        <w:t>一、延期缴纳社会保险费</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对受疫情影响，面临暂时性生产经营困难，无力足额缴纳社会保险费的中小微企业，在疫情期间，可缓缴养老保险和失业保险费。在疫情解除后3个月内，企业足额补缴社会保险费的不加收滞纳金，不影响参保职工个人权益。</w:t>
      </w:r>
    </w:p>
    <w:p>
      <w:pPr>
        <w:widowControl/>
        <w:spacing w:before="100" w:beforeAutospacing="1" w:after="150" w:line="480" w:lineRule="atLeast"/>
        <w:ind w:firstLine="480"/>
        <w:jc w:val="left"/>
        <w:outlineLvl w:val="0"/>
        <w:rPr>
          <w:rFonts w:ascii="仿宋" w:hAnsi="仿宋" w:eastAsia="仿宋" w:cs="宋体"/>
          <w:color w:val="333333"/>
          <w:kern w:val="0"/>
          <w:sz w:val="32"/>
          <w:szCs w:val="32"/>
        </w:rPr>
      </w:pPr>
      <w:r>
        <w:rPr>
          <w:rFonts w:hint="eastAsia" w:ascii="仿宋" w:hAnsi="仿宋" w:eastAsia="仿宋" w:cs="宋体"/>
          <w:b/>
          <w:bCs/>
          <w:color w:val="333333"/>
          <w:kern w:val="0"/>
          <w:sz w:val="32"/>
          <w:szCs w:val="32"/>
        </w:rPr>
        <w:t>二、中小微企业划型标准</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按照宁政办规发〔2020〕2号文件规定，中小微企业应符合《工业和信息化部 国家统计局 国家发展和改革委员会 财政部关于印发中小企业划型标准规定的通知》（工信部联企业〔2011〕300号）规定的标准。</w:t>
      </w:r>
    </w:p>
    <w:p>
      <w:pPr>
        <w:widowControl/>
        <w:spacing w:before="100" w:beforeAutospacing="1" w:after="150" w:line="480" w:lineRule="atLeast"/>
        <w:ind w:firstLine="480"/>
        <w:jc w:val="left"/>
        <w:outlineLvl w:val="0"/>
        <w:rPr>
          <w:rFonts w:ascii="仿宋" w:hAnsi="仿宋" w:eastAsia="仿宋" w:cs="宋体"/>
          <w:color w:val="333333"/>
          <w:kern w:val="0"/>
          <w:sz w:val="32"/>
          <w:szCs w:val="32"/>
        </w:rPr>
      </w:pPr>
      <w:r>
        <w:rPr>
          <w:rFonts w:hint="eastAsia" w:ascii="仿宋" w:hAnsi="仿宋" w:eastAsia="仿宋" w:cs="宋体"/>
          <w:b/>
          <w:bCs/>
          <w:color w:val="333333"/>
          <w:kern w:val="0"/>
          <w:sz w:val="32"/>
          <w:szCs w:val="32"/>
        </w:rPr>
        <w:t>三、企业申报办理缓缴社会保险费</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对符合条件需要办理延期缴纳基本养老保险、失业保险的企业，可自行确认后，通过宁夏区税务局“获得”综合服务平台下载社会保险费缓缴申报表，由企业填写完整、加盖公章后将申报表照片上传主管税务部门办理。</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宁夏区税务局“获得”综合服务平台的安装注册使用请联系主管税务机关税收管理员。</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hint="eastAsia" w:ascii="仿宋" w:hAnsi="仿宋" w:eastAsia="仿宋" w:cs="宋体"/>
          <w:color w:val="333333"/>
          <w:kern w:val="0"/>
          <w:sz w:val="32"/>
          <w:szCs w:val="32"/>
        </w:rPr>
        <w:t>对申报办理延期缴纳职工医疗保险、生育保险的企业，按照《自治区医疗保障局 卫生健康委 国家税务总局宁夏回族自治区税务局关于采取延期缴费等措施做好新型冠状病毒感染的肺炎疫情防控工作的通知》（宁医保发〔2020〕14号）执行，申报流程比照本通告办理。</w:t>
      </w:r>
    </w:p>
    <w:p>
      <w:pPr>
        <w:widowControl/>
        <w:spacing w:before="100" w:beforeAutospacing="1" w:after="150" w:line="480" w:lineRule="atLeast"/>
        <w:ind w:firstLine="480"/>
        <w:jc w:val="left"/>
        <w:rPr>
          <w:rFonts w:ascii="仿宋" w:hAnsi="仿宋" w:eastAsia="仿宋" w:cs="宋体"/>
          <w:color w:val="333333"/>
          <w:kern w:val="0"/>
          <w:sz w:val="32"/>
          <w:szCs w:val="32"/>
        </w:rPr>
      </w:pPr>
      <w:r>
        <w:rPr>
          <w:rFonts w:ascii="Calibri" w:hAnsi="Calibri" w:eastAsia="仿宋" w:cs="Calibri"/>
          <w:color w:val="333333"/>
          <w:kern w:val="0"/>
          <w:sz w:val="32"/>
          <w:szCs w:val="32"/>
        </w:rPr>
        <w:t> </w:t>
      </w:r>
      <w:r>
        <w:rPr>
          <w:rFonts w:hint="eastAsia" w:ascii="仿宋" w:hAnsi="仿宋" w:eastAsia="仿宋" w:cs="宋体"/>
          <w:color w:val="333333"/>
          <w:kern w:val="0"/>
          <w:sz w:val="32"/>
          <w:szCs w:val="32"/>
        </w:rPr>
        <w:t>附件：</w:t>
      </w:r>
      <w:r>
        <w:fldChar w:fldCharType="begin"/>
      </w:r>
      <w:r>
        <w:instrText xml:space="preserve"> HYPERLINK "http://ningxia.chinatax.gov.cn/module/download/downfile.jsp?classid=0&amp;filename=a40daaeaff11440f881d9c20f8625cd9.doc" </w:instrText>
      </w:r>
      <w:r>
        <w:fldChar w:fldCharType="separate"/>
      </w:r>
      <w:r>
        <w:rPr>
          <w:rStyle w:val="222"/>
          <w:rFonts w:hint="eastAsia" w:ascii="仿宋" w:hAnsi="仿宋" w:eastAsia="仿宋" w:cs="宋体"/>
          <w:color w:val="333333"/>
          <w:kern w:val="0"/>
          <w:sz w:val="32"/>
          <w:szCs w:val="32"/>
        </w:rPr>
        <w:t>中小企业划型标准规定.doc</w:t>
      </w:r>
      <w:r>
        <w:rPr>
          <w:rStyle w:val="222"/>
          <w:rFonts w:hint="eastAsia" w:ascii="仿宋" w:hAnsi="仿宋" w:eastAsia="仿宋" w:cs="宋体"/>
          <w:color w:val="333333"/>
          <w:kern w:val="0"/>
          <w:sz w:val="32"/>
          <w:szCs w:val="32"/>
        </w:rPr>
        <w:fldChar w:fldCharType="end"/>
      </w:r>
    </w:p>
    <w:p>
      <w:pPr>
        <w:widowControl/>
        <w:spacing w:before="100" w:beforeAutospacing="1" w:after="150" w:line="480" w:lineRule="atLeast"/>
        <w:ind w:firstLine="480"/>
        <w:jc w:val="right"/>
        <w:rPr>
          <w:rFonts w:ascii="仿宋" w:hAnsi="仿宋" w:eastAsia="仿宋" w:cs="宋体"/>
          <w:color w:val="333333"/>
          <w:kern w:val="0"/>
          <w:sz w:val="32"/>
          <w:szCs w:val="32"/>
        </w:rPr>
      </w:pPr>
      <w:r>
        <w:rPr>
          <w:rFonts w:ascii="Calibri" w:hAnsi="Calibri" w:eastAsia="仿宋" w:cs="Calibri"/>
          <w:color w:val="333333"/>
          <w:kern w:val="0"/>
          <w:sz w:val="32"/>
          <w:szCs w:val="32"/>
        </w:rPr>
        <w:t> </w:t>
      </w:r>
      <w:r>
        <w:rPr>
          <w:rFonts w:hint="eastAsia" w:ascii="仿宋" w:hAnsi="仿宋" w:eastAsia="仿宋" w:cs="宋体"/>
          <w:color w:val="333333"/>
          <w:kern w:val="0"/>
          <w:sz w:val="32"/>
          <w:szCs w:val="32"/>
        </w:rPr>
        <w:t>国家税务总局宁夏回族自治区税务局</w:t>
      </w:r>
      <w:r>
        <w:rPr>
          <w:rFonts w:ascii="Calibri" w:hAnsi="Calibri" w:eastAsia="仿宋" w:cs="Calibri"/>
          <w:color w:val="333333"/>
          <w:kern w:val="0"/>
          <w:sz w:val="32"/>
          <w:szCs w:val="32"/>
        </w:rPr>
        <w:t>   </w:t>
      </w:r>
      <w:r>
        <w:rPr>
          <w:rFonts w:hint="eastAsia" w:ascii="仿宋" w:hAnsi="仿宋" w:eastAsia="仿宋" w:cs="宋体"/>
          <w:color w:val="333333"/>
          <w:kern w:val="0"/>
          <w:sz w:val="32"/>
          <w:szCs w:val="32"/>
        </w:rPr>
        <w:t>宁夏回族自治区人力资源和社会保障厅</w:t>
      </w:r>
    </w:p>
    <w:p>
      <w:pPr>
        <w:widowControl/>
        <w:spacing w:before="100" w:beforeAutospacing="1" w:after="150" w:line="480" w:lineRule="atLeast"/>
        <w:ind w:firstLine="480"/>
        <w:jc w:val="right"/>
        <w:rPr>
          <w:rFonts w:ascii="仿宋" w:hAnsi="仿宋" w:eastAsia="仿宋" w:cs="宋体"/>
          <w:color w:val="333333"/>
          <w:kern w:val="0"/>
          <w:sz w:val="32"/>
          <w:szCs w:val="32"/>
        </w:rPr>
      </w:pPr>
      <w:r>
        <w:rPr>
          <w:rFonts w:hint="eastAsia" w:ascii="仿宋" w:hAnsi="仿宋" w:eastAsia="仿宋" w:cs="宋体"/>
          <w:color w:val="333333"/>
          <w:kern w:val="0"/>
          <w:sz w:val="32"/>
          <w:szCs w:val="32"/>
        </w:rPr>
        <w:t>2020年2月14日</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263"/>
        <w:adjustRightInd w:val="0"/>
        <w:snapToGrid w:val="0"/>
        <w:spacing w:after="0" w:line="360" w:lineRule="auto"/>
        <w:outlineLvl w:val="0"/>
        <w:rPr>
          <w:rFonts w:ascii="仿宋" w:hAnsi="仿宋" w:eastAsia="仿宋"/>
          <w:color w:val="000000" w:themeColor="text1"/>
          <w:sz w:val="32"/>
          <w:szCs w:val="32"/>
        </w:rPr>
      </w:pPr>
      <w:bookmarkStart w:id="214" w:name="_Toc34141508"/>
      <w:r>
        <w:rPr>
          <w:rFonts w:hint="eastAsia" w:ascii="仿宋" w:hAnsi="仿宋" w:eastAsia="仿宋"/>
          <w:color w:val="000000" w:themeColor="text1"/>
          <w:sz w:val="32"/>
          <w:szCs w:val="32"/>
        </w:rPr>
        <w:t>（二十九）新疆维吾尔自治区</w:t>
      </w:r>
      <w:bookmarkEnd w:id="214"/>
    </w:p>
    <w:p>
      <w:pPr>
        <w:pStyle w:val="830"/>
        <w:adjustRightInd w:val="0"/>
        <w:snapToGrid w:val="0"/>
        <w:spacing w:before="0" w:after="0" w:line="360" w:lineRule="auto"/>
        <w:jc w:val="center"/>
        <w:rPr>
          <w:rFonts w:ascii="仿宋" w:hAnsi="仿宋" w:eastAsia="仿宋" w:cs="Times New Roman"/>
          <w:bCs w:val="0"/>
          <w:kern w:val="0"/>
        </w:rPr>
      </w:pPr>
      <w:bookmarkStart w:id="215" w:name="_Toc34141509"/>
      <w:bookmarkStart w:id="216" w:name="_Toc33451135"/>
      <w:r>
        <w:rPr>
          <w:rFonts w:hint="eastAsia" w:ascii="仿宋" w:hAnsi="仿宋" w:eastAsia="仿宋" w:cs="Times New Roman"/>
          <w:bCs w:val="0"/>
          <w:kern w:val="0"/>
        </w:rPr>
        <w:t>国家税务总局新疆维吾尔自治区税务局关于发布“非接触式”网上办税缴费事项</w:t>
      </w:r>
      <w:r>
        <w:rPr>
          <w:rFonts w:ascii="仿宋" w:hAnsi="仿宋" w:eastAsia="仿宋" w:cs="Times New Roman"/>
          <w:bCs w:val="0"/>
          <w:kern w:val="0"/>
        </w:rPr>
        <w:t xml:space="preserve"> 清单的通告</w:t>
      </w:r>
      <w:bookmarkEnd w:id="215"/>
      <w:bookmarkEnd w:id="216"/>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的一系列重要指示批示精神，全面落实党中央、国务院、自治区相关工作部署，新疆税务局制定了《“非接触式”网上办税缴费业务事项清单》（以下简称“清单”），在为纳税人缴费人提供安全、高效、便利服务的同时，降低疫情传播风险，现将有关事项通告如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一、清单内容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清单内容共</w:t>
      </w:r>
      <w:r>
        <w:rPr>
          <w:rFonts w:ascii="仿宋" w:hAnsi="仿宋" w:eastAsia="仿宋" w:cs="Times New Roman"/>
          <w:kern w:val="0"/>
          <w:sz w:val="32"/>
          <w:szCs w:val="32"/>
        </w:rPr>
        <w:t>196项，具体内容详见附件。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二、清单事项办理渠道</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新疆电子税务局</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https://etax.xinjiang.chinatax.gov.cn/）、新疆税务手机APP、“新疆税务”微信公众号、“新疆税务社保缴费”微信小程序、自然人电子税务局、增值税发票综合服务平台、邮寄等。</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三、其他事项</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新疆税务局将依托电子税务局、手机</w:t>
      </w:r>
      <w:r>
        <w:rPr>
          <w:rFonts w:ascii="仿宋" w:hAnsi="仿宋" w:eastAsia="仿宋" w:cs="Times New Roman"/>
          <w:kern w:val="0"/>
          <w:sz w:val="32"/>
          <w:szCs w:val="32"/>
        </w:rPr>
        <w:t>APP、微信公众号、邮寄、传真、电子邮件等，不断拓宽“非接触式”办税缴费业务事项，并动态调整清单内容，通过新疆税务局门户网站等渠道发布。</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附件：</w:t>
      </w:r>
      <w:r>
        <w:fldChar w:fldCharType="begin"/>
      </w:r>
      <w:r>
        <w:instrText xml:space="preserve"> HYPERLINK "http://xinjiang.chinatax.gov.cn/zwgk/tzgg/202002/P020200218474057045564.xlsx" </w:instrText>
      </w:r>
      <w:r>
        <w:fldChar w:fldCharType="separate"/>
      </w:r>
      <w:r>
        <w:rPr>
          <w:rStyle w:val="222"/>
          <w:rFonts w:ascii="仿宋" w:hAnsi="仿宋" w:eastAsia="仿宋" w:cs="Times New Roman"/>
          <w:color w:val="auto"/>
          <w:kern w:val="0"/>
          <w:sz w:val="32"/>
          <w:szCs w:val="32"/>
        </w:rPr>
        <w:t>“非接触式”网上办税缴费清单</w:t>
      </w:r>
      <w:r>
        <w:rPr>
          <w:rStyle w:val="222"/>
          <w:rFonts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 xml:space="preserve">      国家税务总局新疆维吾尔自治区税务局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 xml:space="preserve">                     2020年2月18日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217" w:name="_Toc34141510"/>
      <w:bookmarkStart w:id="218" w:name="_Toc33451136"/>
      <w:r>
        <w:rPr>
          <w:rFonts w:hint="eastAsia" w:ascii="仿宋" w:hAnsi="仿宋" w:eastAsia="仿宋" w:cs="Times New Roman"/>
          <w:bCs w:val="0"/>
          <w:kern w:val="0"/>
        </w:rPr>
        <w:t>国家税务总局新疆维吾尔自治区税务局关于电子发票服务平台接入验证工作的公告</w:t>
      </w:r>
      <w:bookmarkEnd w:id="217"/>
      <w:bookmarkEnd w:id="218"/>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 xml:space="preserve">UKey和测试用税务UKey邮寄至平台方提供的收件地址，将验证方法和工具发送到平台方指定邮箱。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w:t>
      </w:r>
      <w:r>
        <w:rPr>
          <w:rFonts w:ascii="仿宋" w:hAnsi="仿宋" w:eastAsia="仿宋" w:cs="Times New Roman"/>
          <w:kern w:val="0"/>
          <w:sz w:val="32"/>
          <w:szCs w:val="32"/>
        </w:rPr>
        <w:t>2.0版）生产环境正式接入（地址：zzsfp.xj-n-tax.gov.cn:9443）。</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"http://xinjiang.chinatax.gov.cn/zwgk/tzgg/202002/P020200217435124375258.docx"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hint="eastAsia"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 xml:space="preserve">          国家税务总局新疆维吾尔自治区税务局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w:t>
      </w:r>
      <w:r>
        <w:rPr>
          <w:rFonts w:ascii="仿宋" w:hAnsi="仿宋" w:eastAsia="仿宋" w:cs="Times New Roman"/>
          <w:kern w:val="0"/>
          <w:sz w:val="32"/>
          <w:szCs w:val="32"/>
        </w:rPr>
        <w:t>2020年2月17日</w:t>
      </w:r>
    </w:p>
    <w:p>
      <w:pPr>
        <w:pStyle w:val="263"/>
        <w:adjustRightInd w:val="0"/>
        <w:snapToGrid w:val="0"/>
        <w:spacing w:after="0" w:line="360" w:lineRule="auto"/>
        <w:outlineLvl w:val="0"/>
        <w:rPr>
          <w:rFonts w:ascii="仿宋" w:hAnsi="仿宋" w:eastAsia="仿宋"/>
          <w:color w:val="000000" w:themeColor="text1"/>
          <w:sz w:val="32"/>
          <w:szCs w:val="32"/>
        </w:rPr>
      </w:pPr>
      <w:bookmarkStart w:id="219" w:name="_Toc34141511"/>
      <w:r>
        <w:rPr>
          <w:rFonts w:hint="eastAsia" w:ascii="仿宋" w:hAnsi="仿宋" w:eastAsia="仿宋"/>
          <w:color w:val="000000" w:themeColor="text1"/>
          <w:sz w:val="32"/>
          <w:szCs w:val="32"/>
        </w:rPr>
        <w:t>（三十）陕西省</w:t>
      </w:r>
      <w:bookmarkEnd w:id="219"/>
    </w:p>
    <w:p>
      <w:pPr>
        <w:pStyle w:val="5"/>
        <w:adjustRightInd w:val="0"/>
        <w:snapToGrid w:val="0"/>
        <w:spacing w:before="0" w:after="0" w:line="360" w:lineRule="auto"/>
        <w:jc w:val="center"/>
        <w:rPr>
          <w:rFonts w:ascii="仿宋" w:hAnsi="仿宋" w:eastAsia="仿宋" w:cs="Times New Roman"/>
          <w:kern w:val="0"/>
        </w:rPr>
      </w:pPr>
      <w:bookmarkStart w:id="220" w:name="_Toc34141512"/>
      <w:bookmarkStart w:id="221" w:name="_Toc33451090"/>
      <w:r>
        <w:rPr>
          <w:rFonts w:hint="eastAsia" w:ascii="仿宋" w:hAnsi="仿宋" w:eastAsia="仿宋" w:cs="Times New Roman"/>
          <w:kern w:val="0"/>
        </w:rPr>
        <w:t>国家税务总局陕西省税务局关于2019年度企业所得税汇算清缴有关事项的提示</w:t>
      </w:r>
      <w:bookmarkEnd w:id="220"/>
      <w:bookmarkEnd w:id="221"/>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坚决贯彻党中央、国务院对疫情防控工作的决策部署，深入落实陕西省委、省政府在疫情防控期间相关工作要求，在确保做好新型冠状病毒疫情防控工作的基础上，帮助纳税人顺利完成2019年度企业所得税汇算清缴工作，现将我省2019年度企业所得税汇算清缴有关事项提示如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一、企业所得税汇算清缴适用范围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凡符合企业所得税法及其实施条例规定，在纳税年度内从事生产、经营（包括试生产、试经营），或在纳税年度中间终止经营活动的纳税人，无论是否在减税、免税期间，也无论盈利或亏损，均应按照企业所得税法及其实施条例的有关规定向税务机关报送年度企业所得税纳税申报表，并汇算清缴，结清应缴应退税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跨地区经营汇总纳税企业的总机构根据《国家税务总局关于印发&lt;跨地区经营汇总纳税企业所得税征收管理办法&gt;的公告》(国家税务总局公告2012年第57号)的规定进行年度纳税申报，参与分配的分支机构按照总机构计算分摊的应缴应退税款，就地办理税款缴库或退库。</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实行核定应税所得率方式征收企业所得税的纳税人需要进行2019年度企业所得税汇算清缴工作，实行核定定额征收企业所得税纳税人不需要进行汇算清缴。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二、企业所得税汇算清缴申报时间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（一）一般企业汇算清缴时间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2019年度企业所得税汇算清缴时间为2020年1月1日至2020年5月31日。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（二）申请办理注销登记企业汇算清缴时间</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纳税人发生解散、破产、撤销等终止生产经营情形，需进行企业所得税清算的，应在清算前报告主管税务机关，并自实际经营终止之日起60日内向主管税务机关办理企业所得税汇算清缴，结清应缴应退企业所得税款。纳税人有其他情形依法终止纳税义务的，应当自停止生产、经营之日起60日内，向主管税务机关办理企业所得税汇算清缴，结清应缴应退企业所得税款。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（三）更正申报注意事项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2019年度企业所得税汇算清缴申报截止日为2020年5月31日（含），纳税人如发现企业所得税年度申报有误的，可以进行更正申报，并结清应缴应退企业所得税款，涉及补缴税款的不加收滞纳金。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2019年度企业所得税汇算清缴申报截止日2020年5月31日后，纳税人如发现企业所得税年度申报有误的，可以进行更正申报，涉及补缴税款的，应自2020年6月1日起按日加收滞纳金。</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三、选择适用的企业所得税汇算清缴申报表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（一）申报表选择</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1.《中华人民共和国企业所得税年度纳税申报表（A类）》及相关附表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适用纳税人类型：查账征收居民企业及实行按比例就地预缴汇总（合并）纳税办法的分支机构纳税人。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2.《中华人民共和国企业所得税年度纳税申报表（B类）》及相关附表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适用纳税人类型：核定征收居民企业（核定应税所得率）。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3.《分支机构企业所得税年度纳税申报表（A类）》及相关附表（表样同《中华人民共和国企业所得税月(季)度预缴纳税申报表(A类)》）</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适用纳税人类型：跨地区经营汇总纳税企业的分支机构。</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（二）申报表填写注意事项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填报《中华人民共和国企业所得税年度纳税申报表（A类）》的纳税人，应先填写《企业所得税年度纳税申报表填报表单》（以下简称《表单》），并根据企业当年实际发生业务在《表单》中选择“填报”或“不填报”对应的附表，凡选择“填报”的附表，无论相关业务是否需纳税调整，均应完整填写附表中的信息。</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纳税人应重点关注《企业所得税年度纳税申报基础信息表》（A000000）中相关信息的准确填写。其中小型微利企业重点关注资产总额、行业、从业人数等相关信息，确保信息填写准确；符合条件的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高新技术企业、科技型中小企业需要重点关注《企业所得税年度纳税申报基础信息表》（A000000）中高新技术企业证书编号、科技型中小企业入库编号等信息的填写，避免因错填、漏填而影响相关优惠政策的享受。</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（三）税收优惠享受注意事项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享受企业所得税税收优惠的纳税人，请按照《国家税务总局关于发布修订后的&lt;企业所得税优惠政策事项办理办法&gt;的公告》（国家税务总局公告2018年第23号）规定要求，自行判别、申报享受、相关资料留存备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享受研发费加计扣除优惠政策纳税人应重点关注《研发费用加计扣除优惠明细表》（A107012）中相关栏次的填写，按照费用归集情况准确填写“其他相关费用”、“经限额调整后的其他相关费用”栏，确保与归集表相关内容匹配，准确享受优惠。</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3.符合条件的小型微利企业请准确填写年度申报信息，并按照2019年度实际经营情况重新判定并享受小型微利企业税收优惠。</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4.经认定有效期内的高新技术企业，无论是否享受高新技术企业优惠，均应填写《高新技术企业优惠情况及明细表》（A107041）。</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5.符合条件的高新技术企业和科技型中小企业，应在准确填报《企业所得税年度纳税申报基础信息表》（A000000）证书编号、入库编号等信息的基础上，认真填报《企业所得税弥补亏损明细表》（A106000），充分享受延长高新技术企业和科技型中小企业亏损结转年限政策。</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四、企业所得税汇算清缴申报方式</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目前，企业所得税纳税人汇算清缴申报的方式包括网上申报和手工上门申报。其中，网上申报是指企业所得税纳税人通过电子税务局网上纳税申报模块进行申报和更正申报，逾期申报暂不支持网上申报；手工上门申报是指由于实际情况，纳税人不能正常进行网上申报时可直接携带汇算清缴相关材料到办税服务厅办理申报。目前我省已经完成电子税务局新版年度申报表功能的升级工作，请广大纳税人于2020年5月31日前进行2019年度企业所得税年度纳税申报，并结清应缴应退企业所得税税款。（提示：在新型冠状病毒肺炎疫情期间，请尽量通过网上纳税申报系统进行申报。）</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五、年度汇算清缴流程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推进“放管服”改革，帮助纳税人防范申报环节错报风险,税务机关预计于3月初使用“企业所得税税收政策风险提示服务”功能，在企业所得税年度纳税申报环节为纳税人提供风险扫描服务，该服务功能以“互联网+税务”为依托，以大数据分析为手段，通过“风险体检”方式为申报数据进行风险扫描，生成风险分析信息推送给纳税人，帮助企业提前化解风险。</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（一）提交财务报表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纳税人在电子税务局进行企业所得税汇算清缴时，应首先上传资产负债表、利润表、现金流量表等财务报表，并确保所有填报的报表信息准确；属于国家税务总局确定的千户集团企业的，还需要同时上传集团合并财务报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（二）填写年度纳税申报表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在纳税人已经上传财务报表的前提下，通过电子税务局“我要办税”--“税费申报及缴纳”--“按期应申报”模块完成“居民企业（查账征收）企业所得税年度申报”申报表填写工作。如果填写错误且已经提交申报，数据不涉及应纳税额时，可以作废后重新填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（三）开展税收政策风险扫描</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在提交纳税申报表前，纳税人可使用“企业所得税税收政策风险提示服务”功能进行风险扫描，该功能将在纳税人提交汇算清缴申报数据时进行风险扫描,并将可能存在的填报问题反馈给纳税人，建议纳税人使用该功能，以降低纳税遵从风险。纳税人针对反馈的可能存在的填报问题进行确认，若经核实不属于填报问题的可直接确认申报并进行缴税操作；确实存在问题的，对申报数据进行修改后，可通过电子税务局进行申报并缴纳税款；对于认为风险提示信息不准确，纳税人申报表填写准确的可直接提交纳税申报信息，完成申报及税款缴纳。</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六、其他注意事项</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（一）纳税人应如实填报企业所得税年度纳税申报表，并按时报送相关资料，对纳税申报表及相关资料内容的真实性和合法性承担法律责任。</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（二）为防控疫情传播，保护您的健康，纳税人进行2019年度企业所得税汇算清缴期间遇到问题时，建议最大限度地通过“非接触式”途径获得有关汇算清缴相关信息及帮助：</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1.纳税人可通过关注陕西省税务局门户网站及陕西税务微信公众号获取企业所得税相关政策信息。</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2.纳税人如在进行企业所得税汇算清缴申报时遇到政策问题，可通过拨打主管税务机关公布的咨询电话（可通过主管税务部门门户网站获取），或者通过12366服务热线咨询服务平台沟通解决。</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3.纳税人如在电子税务局上进行企业所得税汇算清缴申报时遇到技术问题，可通过拨打陕西省电子税务局客服电话沟通解决。客服电话：4009912366。</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 如果纳税人有必须到办税服务厅现场办理的特殊事项，请通过各办税服务厅公布的对外联系电话或电子税务局等渠道提前预约，各办税服务厅将尽量分批错峰办理。办理时请您自觉佩戴口罩，做好各种防护措施，接受人员登记和体温检测等，否则将不允许进入办税服务厅，请予理解和配合。</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国家税务总局陕西省税务局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2020年2月12日</w:t>
      </w:r>
      <w:r>
        <w:rPr>
          <w:rFonts w:ascii="Calibri" w:hAnsi="Calibri" w:eastAsia="仿宋" w:cs="Calibri"/>
          <w:kern w:val="0"/>
          <w:sz w:val="32"/>
          <w:szCs w:val="32"/>
        </w:rPr>
        <w:t>   </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222" w:name="_Toc33451091"/>
      <w:bookmarkStart w:id="223" w:name="_Toc34141513"/>
      <w:r>
        <w:rPr>
          <w:rFonts w:hint="eastAsia" w:ascii="仿宋" w:hAnsi="仿宋" w:eastAsia="仿宋"/>
          <w:bCs w:val="0"/>
        </w:rPr>
        <w:t>国家税务总局陕西省税务局关于全力打赢疫情防控阻击战税费政策措施的贯彻落实意见</w:t>
      </w:r>
      <w:bookmarkEnd w:id="222"/>
      <w:r>
        <w:rPr>
          <w:rFonts w:ascii="仿宋" w:hAnsi="仿宋" w:eastAsia="仿宋"/>
          <w:b w:val="0"/>
          <w:bCs w:val="0"/>
          <w:color w:val="000000" w:themeColor="text1"/>
        </w:rPr>
        <w:br w:type="textWrapping"/>
      </w:r>
      <w:r>
        <w:rPr>
          <w:rFonts w:hint="eastAsia" w:ascii="仿宋" w:hAnsi="仿宋" w:eastAsia="仿宋" w:cs="Times New Roman"/>
          <w:kern w:val="0"/>
        </w:rPr>
        <w:t>（陕税发〔2020〕12号)</w:t>
      </w:r>
      <w:bookmarkEnd w:id="223"/>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国家税务总局各设区市、杨凌示范区、韩城市税务局，省局各派出机构、局内各单位，各县（区）税务局：</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新冠肺炎疫情防控工作的一系列重要指示批示精神，全面细化落实税务总局18条政策措施和省委、省政府22条工作举措，充分发挥税收职能作用，全力支持打赢疫情防控阻击战，促进经济社会平稳健康发展，现结合工作实际，提出如下贯彻落实意见：</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一、全面落实税费优惠政策，支持防控保供和复产扩能</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夯实政治责任。坚决扛牢落实支持疫情防控税收政策的政治责任，不忘初心，牢记使命，积极担当作为，全面贯彻落实好国家和省上现行一系列支持疫情防控的税费政策措施，同时持续实打实硬碰硬贯彻落实好系列减税降费政策措施。（全省各级税务机关）</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支持复产扩能。对防控重点保障物资生产企业，为扩大产能新购置相关设备在计算企业所得税时允许一次性税前扣除，可按月申请全额退还增值税增量留抵税额。省局货物和劳务税处、企业所得税处积极与省发展改革、工业和信息化部门联系，及时获取所确定的企业名单，第一时间下发基层，由主管税务机关负责一对一辅导，抓好政策落实。（全省各级货物和劳务税、企业所得税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支持物资运输。对纳税人提供疫情防控重点保障物资运输收入免征增值税；对纳税人提供公共交通运输服务、生活服务及居民必需生活物资快递收派服务收入免征增值税。（全省各级货物和劳务税、财产和行为税、非税收入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实行车船税减免。医疗卫生机构和物流企业参与疫情防控和运输防控重点物资的车辆，凭各级应对疫情工作领导小组及应急指挥部有关证明资料，免征2020年度车船税；对于已经缴纳2020年车船税的车辆在下一年度应缴纳车船税中抵减。证明资料应载明医疗卫生机构或物流企业的名称及统一社会信用代码，车辆数量，每辆车的车牌号、车架号等信息。（全省各级资源和环境税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支持公益捐赠。对企业和个人按规定捐赠用于应对新冠肺炎疫情的现金和物品，允许在计算应纳税所得额时全额扣除；对无偿捐赠应对疫情的货物免征增值税、消费税、城市维护建设税、教育费附加、地方教育附加。（全省各级货物和劳务税、企业所得税、个人所得税、非税收入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ascii="Calibri" w:hAnsi="Calibri" w:eastAsia="仿宋" w:cs="Calibri"/>
          <w:kern w:val="0"/>
          <w:sz w:val="32"/>
          <w:szCs w:val="32"/>
        </w:rPr>
        <w:t> </w:t>
      </w:r>
      <w:r>
        <w:rPr>
          <w:rFonts w:hint="eastAsia" w:ascii="仿宋" w:hAnsi="仿宋" w:eastAsia="仿宋" w:cs="Times New Roman"/>
          <w:kern w:val="0"/>
          <w:sz w:val="32"/>
          <w:szCs w:val="32"/>
        </w:rPr>
        <w:t>（六）实行个税减免。对参与疫情防治工作的医务人员和防疫工作者按照政府规定标准取得的临时性工作补助和奖金，免征个人所得税；单位发给个人用于预防新型冠状病毒感染的肺炎的药品、医疗用品和防护用品等实物（不包括现金），不计入工资、薪金收入，免征个人所得税。各级税务机关要主动对接同级卫健部门，做好政策解读，特别是对于参加疫情防治工作的医务人员和防疫工作者，要通过“专业辅导+精简资料+便捷办理”的方式零遗漏地落实好个税减免，最大力度支持医务人员和防疫工作者把时间和精力投入到疫情防治工作中去。（全省各级个人所得税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落实困难减免。受疫情影响较大的交通运输、餐饮、住宿以及旅游（指旅行社及相关服务、游览景区管理两类）等四大类困难行业企业2020年度发生的亏损，最长结转年限由5年延长至8年。对因疫情导致企业发生重大损失，正常生产经营受到重大影响，缴纳房产税、城镇土地使用税确有困难的可申请减免。对旅游、住宿、餐饮、会展、商贸流通、交通运输、教育培训、文艺演出、影视剧院等受疫情影响较大的行业企业免征水利建设基金和残疾人就业保障金。（全省各级企业所得税、财产和行为税、非税收入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八）加强税费政策宣传辅导。通过“陕西税务”微信公众号、陕西省电子税务局、省局门户网站、12366纳税服务热线等多种方式，第一时间向纳税人、缴费人开展政策宣传解读。要对照《新冠肺炎疫情防控税收优惠政策指引》，逐项开展宣传解读，尽快让纳税人、缴费人懂政策、会申报，确保税费优惠政策全面精准落地。同时，要做好对税务干部、12366坐席人员的培训辅导。（全省各级办公室、纳税服务、政策法规、税费种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九）及时提出政策建议。围绕党中央、国务院统一部署，深入开展调查研究，提出有针对性、可操作性的意见建议。进一步落实税收政策执行情况反馈机制，查找疫情防控和企业复产扩能优惠政策执行中存在的问题，及时向上级反馈情况，提出建议。（全省各级税费种、税收经济分析、政策法规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加强考核监督。开展对支持疫情防控税收优惠政策执行情况的督促检查，强化政策措施落实情况的监督和考核，严明纪律要求，确保政策执行不打折扣。（全省各级纪律检查、考核考评、督察内审、税费种部门）</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二、深入拓展“非接触式”办税缴费，降低疫情传播风险</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一）明确网上办税缴费事项。对税务总局梳理和发布的涉税事项网上办理清单开展广泛宣传，各级税务机关要通过微信、QQ、短信、电话等多种渠道告知纳税人、缴费人凡是清单之内的事项均可足不出户、网上办理，不得自行要求纳税人、缴费人到办税服务厅或政务服务大厅办理清单列明的相关业务。（全省各级纳税服务、个人所得税、社会保险费、非税收入、大数据和风险管理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二）拓展网上办税缴费范围。在税务总局发布清单的基础上，按照“尽可能网上办”的原则，结合工作实际，积极拓展丰富网上办税缴费事项，实现更多业务从办税服务厅向网上转移，进一步提高网上办理率。（全省各级纳税服务、个人所得税、社会保险费、非税收入、大数据和风险管理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三）优化网上办税缴费平台。加强电子税务局、手机APP等办税缴费平台的运行维护和应用管理，确保系统安全稳定。优化电子税务局与增值税发票综合服务平台对接的相关应用功能，进一步方便纳税人网上办理发票业务。拓展通过电子税务局移动端利用第三方支付渠道缴纳税费业务，为纳税人、缴费人提供更多的“掌上办税”便利。（全省各级纳税服务、货物和劳务税、个人所得税、社会保险费、非税收入、征管和科技发展、大数据和风险管理、信息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四）强化线上税费咨询服务。增强12366纳税服务热线咨询力量配备，确保接线通畅、解答准确、服务优质。制作疫情防控税收热点问题答疑，及时向纳税人、缴费人推送。积极借助12366纳税服务平台、主流直播平台等，通过视频、语音、文字等形式与纳税人、缴费人进行实时互动交流，及时回应社会关切。（全省各级纳税服务、个人所得税、社会保险费、非税收入、大数据和风险管理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五）丰富多元化非接触办理方式。按照“尽可能网上办”“非必须不见面”的原则，拓展网上办税缴费事项，不断拓宽“网上申领、邮寄配送”发票、无纸化方式申报出口退（免）税以及通过传真、邮寄、电子方式送达资料等业务范围，扩大非接触办税缴费覆盖面。（全省各级纳税服务、个人所得税、社会保险费、非税收入、大数据和风险管理部门）</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三、积极优化现场办税缴费服务，全力营造安全高效便捷的办理环境</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六）确保安全办理。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七）现场税费业务办理不中断。根据当地政府疫情防控需要，要求延期开放办税服务厅的地区，要设立临时办税服务点（窗口）或启用后备办税服务点，配置相应的疫情防控设备、工作人员、办公电脑和票证资料，在引导纳税人“非接触式”办税缴费的基础上，满足部分纳税人、缴费人必须现场办理业务的涉税缴费需求。坚决禁止以各种理由推诿扯皮，绝不因税务事宜影响纳税人生产经营和缴费人缴费。（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八）科学配置服务资源。按照疫情防控工作要求，对节后部分工作人员因隔离暂无法到岗的情况，各单位要全面做好统计，在符合疫情防控要求的前提下，根据实际到岗人员情况和工作需要，科学配置办税窗口人员、流动服务人员、后台业务处理等各岗位人员数量。要增强导税人员和电子税务局后台业务处理人员配置，有效分流引导入厅纳税人、缴费人“非接触式”办税缴费，及时处理纳税人通过电子税务局发起的各项业务活动，确保办税缴费工作有序开展。（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九）加强引导办理。增强办税服务厅导税和咨询力量配置，严格落实首问责任制，进一步做好对纳税人、缴费人办税缴费的引导服务，最大限度提高办理效率、压缩办理时间，确保“放心进大厅、事情快捷办”。（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开辟直通办理。对生产、销售和运输疫情防控重点保障物资的纳税人、缴费人，提供办税缴费绿色通道服务，第一时间为其办理税费事宜，全力支持疫情防控重点物资稳产保供。（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一）拓展预约办理。全面梳理分析辖区内纳税人、缴费人办税缴费情况，主动问需，主动对接。各地税务机关要主动公布预约电话、微信预约等预约办税渠道，安排人员专班负责，受理纳税人预约办税，引导纳税人“非接触式”办税缴费。对确需到办税服务厅办理业务的，主动提供预约服务，合理安排办理时间。各办税服务场所每天要根据人员流量情况和业务紧急程度，及时加强与纳税人、缴费人的电话、微信联系沟通，提示其错峰办理，千方百计减少人员集聚。对境外投资者以分配利润直接投资暂不征收预提所得税业务推行预约办理。（全省各级纳税服务、国际税收管理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二）推行容缺办理。对纳税人、缴费人到办税服务厅办理涉税事宜，提供的相关资料不齐全但不影响实质性审核的，经纳税人、缴费人作出书面补正承诺后，可暂缓提交纸质资料，按正常程序为其办理。（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三）全面开放24小时自助办税场所。各单位辖区内的24小时自助办税场所应全面开放，按照规定要求做好消毒防疫工作，有条件的地区可配置医用免洗消毒手液或放置一定数量的一次性手套供纳税人使用，并安排专人定期巡查做好票证增补和设备运维工作。各单位要对外宣传告知“24小时自助办税区”的位置、可办理的业务范围、设备数量等，同时提示可以实现同城通办，最大限度方便纳税人自助办税。（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四）建立应急后备办税服务场所。办税服务厅主管税务机关要结合实际，制定办税服务应急预案，在现有办税服务场所之外，提前选定后备办税场所，选拔业务骨干组建一线办税人员后备团队。如现有办税服务场所发生疫情，需要封闭办税场所或隔离工作人员时，立即启用后备办税场所或组织后备人员上岗，确保辖区内税费业务正常办理。（全省各级纳税服务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五）严格落实纳税服务制度规范。各办税服务场所工作人员要严格落实首问责任、一次性告知、预约服务等各项服务制度和工作纪律，确保服务质效不打折扣。各县区局要严格落实办税服务厅领导值班制，强化部门协调配合，由值班局领导每日值守，及时化解和处置各类风险隐患及突发情况，确保办税服务场所各项工作平稳有序。（全省各级纳税服务部门）</w:t>
      </w:r>
    </w:p>
    <w:p>
      <w:pPr>
        <w:widowControl/>
        <w:adjustRightInd w:val="0"/>
        <w:snapToGrid w:val="0"/>
        <w:spacing w:line="360" w:lineRule="auto"/>
        <w:ind w:firstLine="640" w:firstLineChars="200"/>
        <w:jc w:val="left"/>
        <w:outlineLvl w:val="0"/>
        <w:rPr>
          <w:rFonts w:ascii="仿宋" w:hAnsi="仿宋" w:eastAsia="仿宋" w:cs="Times New Roman"/>
          <w:kern w:val="0"/>
          <w:sz w:val="32"/>
          <w:szCs w:val="32"/>
        </w:rPr>
      </w:pPr>
      <w:r>
        <w:rPr>
          <w:rFonts w:hint="eastAsia" w:ascii="仿宋" w:hAnsi="仿宋" w:eastAsia="仿宋" w:cs="Times New Roman"/>
          <w:kern w:val="0"/>
          <w:sz w:val="32"/>
          <w:szCs w:val="32"/>
        </w:rPr>
        <w:t>四、认真落实税收管理措施，积极帮助企业纾困解难</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六）依法延长申报纳税期限。在延长2月份申报纳税期限的基础上，对受疫情影响办理申报仍有困难的纳税人，可依法申请进一步延期，税务机关应合理核定预缴税款；对受疫情影响未正常经营的定期定额户，税务机关应主动辅导纳税人办理停业登记，因受疫情影响未申请停业登记导致自动扣税的，纳税人可申请退还已扣税款，税务机关依法予以办理。疫情严重地区，对缴纳车辆购置税等按次申报纳税的纳税人、扣缴义务人，因疫情原因不能按规定期限办理纳税申报的，可以延期办理。对受疫情影响面临暂时性生产经营困难，无力足额缴纳社会保险费的企业，可缓缴养老保险、失业保险和工伤保险费，缓缴期最长6个月。缓缴期间参保职工个人权益不受影响。（全省各级征管和科技发展、货物和劳务税、社会保险费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七）依法办理延期缴纳税款。对受疫情影响生产经营发生严重困难的企业特别是小微企业，税务机关要依法及时核准其延期缴纳税款申请，积极帮助企业缓解资金压力；在防疫期间暂缓开展医务人员和防疫工作者2019年度个人所得税汇算清缴，各级税务机关要结合当前开展的汇算清缴试点工作摸索和梳理工作经验，并优化办理流程，为医务人员和防疫工作者2019年度汇算清缴提供优质高效服务。（全省各级征管和科技发展、个人所得税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八）切实保障发票供应。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全省各级货物和劳务税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十九）优化税务执法方式。进一步落实“无风险不检查、无批准不进户、无违法不停票”的要求，坚持以案头分析为主，充分发挥大数据优势，深入推进“互联网＋监管”。在疫情防控期间，减少或推迟直接入户检查，对需要到纳税人生产经营所在地进行现场调查核实的事项，可经本级税务机关负责人确认，延至疫情得到控制或结束后办理；对确需在办税服务厅实名办税的人员，通过核验登记证件、身份证件等方式进行验证，暂不要求进行“刷脸”验证；对借疫情防控之机骗取税收优惠或虚开骗税等涉税违法行为，要坚决依法查处。（全省各级稽查、征管和科技发展、社会保险费、纳税服务、大数据和风险管理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十）依法加强权益保障。对受疫情影响逾期申报或逾期报送相关资料的纳税人，免予行政处罚，相关记录不纳入纳税信用评价；对逾期未申报的纳税人，暂不按现行规定认定非正常户，在政府取消疫情防控措施前，以及取消后的次月申报期内，该类纳税人在办理逾期申报时，按征管法及其实施细则有关规定，不予加收滞纳金。对采用“定期定额”方式征收税款的个体工商户或个人独资企业，因疫情影响生产经营的，经纳税人申请，税务机关根据实际情况及时合理调整定额；因疫情影响停止生产经营的，经纳税人申请，税务机关即时办理停业手续。对行政复议申请人因受疫情影响耽误法定申请期限的，申请期限自影响消除之日起继续计算；对不能参加行政复议听证等情形，税务机关依法中止审理，待疫情影响消除后及时恢复。（全省各级征管和科技发展、纳税服务、政策法规部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全省各级税务机关要以高度的思想自觉、政治自觉和行动自觉，深入学习贯彻习近平总书记关于疫情防控工作的一系列重要指示批示精神，坚决落实党中央、国务院的决策部署，按照国家税务总局和省委、省政府的统一安排，进一步夯实工作责任，加强政策宣传，优化纳税服务，努力确保纳税人、缴费人应享尽享、应享快享，持续为全面战胜疫情贡献税务力量。</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国家税务总局陕西省税务局 </w:t>
      </w:r>
      <w:r>
        <w:rPr>
          <w:rFonts w:ascii="Calibri" w:hAnsi="Calibri" w:eastAsia="仿宋" w:cs="Calibri"/>
          <w:kern w:val="0"/>
          <w:sz w:val="32"/>
          <w:szCs w:val="32"/>
        </w:rPr>
        <w:t>   </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2020年2月13日</w:t>
      </w:r>
      <w:r>
        <w:rPr>
          <w:rFonts w:ascii="Calibri" w:hAnsi="Calibri" w:eastAsia="仿宋" w:cs="Calibri"/>
          <w:kern w:val="0"/>
          <w:sz w:val="32"/>
          <w:szCs w:val="32"/>
        </w:rPr>
        <w:t> </w:t>
      </w:r>
      <w:r>
        <w:rPr>
          <w:rFonts w:hint="eastAsia" w:ascii="仿宋" w:hAnsi="仿宋" w:eastAsia="仿宋" w:cs="Times New Roman"/>
          <w:kern w:val="0"/>
          <w:sz w:val="32"/>
          <w:szCs w:val="32"/>
        </w:rPr>
        <w:t xml:space="preserve"> </w:t>
      </w:r>
    </w:p>
    <w:p>
      <w:pPr>
        <w:widowControl/>
        <w:adjustRightInd w:val="0"/>
        <w:snapToGrid w:val="0"/>
        <w:spacing w:line="360" w:lineRule="auto"/>
        <w:ind w:firstLine="640" w:firstLineChars="200"/>
        <w:jc w:val="lef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224" w:name="_Toc34141514"/>
      <w:bookmarkStart w:id="225" w:name="_Toc33451092"/>
      <w:r>
        <w:rPr>
          <w:rFonts w:hint="eastAsia" w:ascii="仿宋" w:hAnsi="仿宋" w:eastAsia="仿宋"/>
          <w:bCs w:val="0"/>
        </w:rPr>
        <w:t>国家税务总局陕西省税务局关于电子发票服务平台接入验证工作的公告</w:t>
      </w:r>
      <w:bookmarkEnd w:id="224"/>
      <w:bookmarkEnd w:id="225"/>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 电子发票服务平台厂商准备工作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1.根据安全代理接口规范做好开发工作；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2.准备用于部署安全代理的机器；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3.准备测试用税控服务器；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4.准备测试用签章服务器。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1.准备两套厂商初始密钥（正式设备厂商保护公钥，测试设备厂商保护公钥），一套用于正式设备，一套用于长期测试设备,并提交到邮箱（地址：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2.准备测试税控服务器（应灌入测试密钥、写入测试税控服务器编号）。</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（二）税务机关审核电子发票服务平台厂商提交的验证申请信息，将测试用平台UKey和测试用税务UKey邮寄至平台方提供的收件地址，将验证方法和工具发送到平台方指定邮箱。 </w:t>
      </w:r>
      <w:r>
        <w:rPr>
          <w:rFonts w:hint="eastAsia" w:ascii="仿宋" w:hAnsi="仿宋" w:eastAsia="仿宋" w:cs="Times New Roman"/>
          <w:kern w:val="0"/>
          <w:sz w:val="32"/>
          <w:szCs w:val="32"/>
        </w:rPr>
        <w:br w:type="textWrapping"/>
      </w:r>
      <w:r>
        <w:rPr>
          <w:rFonts w:ascii="Calibri" w:hAnsi="Calibri" w:eastAsia="仿宋" w:cs="Calibri"/>
          <w:kern w:val="0"/>
          <w:sz w:val="32"/>
          <w:szCs w:val="32"/>
        </w:rPr>
        <w:t>   </w:t>
      </w:r>
      <w:r>
        <w:rPr>
          <w:rFonts w:hint="eastAsia" w:ascii="仿宋" w:hAnsi="仿宋" w:eastAsia="仿宋" w:cs="Times New Roman"/>
          <w:kern w:val="0"/>
          <w:sz w:val="32"/>
          <w:szCs w:val="32"/>
        </w:rPr>
        <w:t xml:space="preserve"> （三）电子发票服务平台厂商使用测试用平台UKey，通过税控服务器安全代理访问增值税发票管理系统（2.0版）测试环境，完成税控服务器发行、税控服务器设备证书制证、发票监制章获取等平台所需初始化操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（五）电子发票服务平台厂商使用测试用平台UKey,通过税控服务器安全代理，完成发票开具、发票上传操作，并将上传的发票生成版式文件。</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fldChar w:fldCharType="begin"/>
      </w:r>
      <w:r>
        <w:instrText xml:space="preserve"> HYPERLINK "mailto:dzfptax@163.com" </w:instrText>
      </w:r>
      <w:r>
        <w:fldChar w:fldCharType="separate"/>
      </w:r>
      <w:r>
        <w:rPr>
          <w:rFonts w:hint="eastAsia" w:ascii="仿宋" w:hAnsi="仿宋" w:eastAsia="仿宋" w:cs="Times New Roman"/>
          <w:kern w:val="0"/>
          <w:sz w:val="32"/>
          <w:szCs w:val="32"/>
        </w:rPr>
        <w:t>dzfptax@163.com</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（七）税务机关对上报资料进行验证，向电子发票服务平台厂商反馈验证情况，并做好记录。验证通过的，即可通过各省税务局增值税发票管理系统（2.0版）生产环境正式接入（地址：</w:t>
      </w:r>
      <w:r>
        <w:fldChar w:fldCharType="begin"/>
      </w:r>
      <w:r>
        <w:instrText xml:space="preserve"> HYPERLINK "https://fpkj.shaanxi.chinatax.gov.cn:7002/" </w:instrText>
      </w:r>
      <w:r>
        <w:fldChar w:fldCharType="separate"/>
      </w:r>
      <w:r>
        <w:rPr>
          <w:rFonts w:hint="eastAsia" w:ascii="仿宋" w:hAnsi="仿宋" w:eastAsia="仿宋" w:cs="Times New Roman"/>
          <w:kern w:val="0"/>
          <w:sz w:val="32"/>
          <w:szCs w:val="32"/>
        </w:rPr>
        <w:t>https://fpkj.shaanxi.chinatax.gov.cn:7002</w:t>
      </w:r>
      <w:r>
        <w:rPr>
          <w:rFonts w:hint="eastAsia" w:ascii="仿宋" w:hAnsi="仿宋" w:eastAsia="仿宋" w:cs="Times New Roman"/>
          <w:kern w:val="0"/>
          <w:sz w:val="32"/>
          <w:szCs w:val="32"/>
        </w:rPr>
        <w:fldChar w:fldCharType="end"/>
      </w:r>
      <w:r>
        <w:rPr>
          <w:rFonts w:hint="eastAsia" w:ascii="仿宋" w:hAnsi="仿宋" w:eastAsia="仿宋" w:cs="Times New Roman"/>
          <w:kern w:val="0"/>
          <w:sz w:val="32"/>
          <w:szCs w:val="32"/>
        </w:rPr>
        <w:t>）。</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国家税务总局陕西省税务局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2020年2月17日</w:t>
      </w:r>
      <w:r>
        <w:rPr>
          <w:rFonts w:ascii="Calibri" w:hAnsi="Calibri" w:eastAsia="仿宋" w:cs="Calibri"/>
          <w:kern w:val="0"/>
          <w:sz w:val="32"/>
          <w:szCs w:val="32"/>
        </w:rPr>
        <w:t> </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附件：</w:t>
      </w:r>
    </w:p>
    <w:p>
      <w:pPr>
        <w:widowControl/>
        <w:adjustRightInd w:val="0"/>
        <w:snapToGrid w:val="0"/>
        <w:spacing w:line="360" w:lineRule="auto"/>
        <w:ind w:firstLine="640" w:firstLineChars="200"/>
        <w:jc w:val="center"/>
        <w:rPr>
          <w:rFonts w:ascii="仿宋" w:hAnsi="仿宋" w:eastAsia="仿宋" w:cs="Times New Roman"/>
          <w:kern w:val="0"/>
          <w:sz w:val="32"/>
          <w:szCs w:val="32"/>
        </w:rPr>
      </w:pPr>
      <w:r>
        <w:rPr>
          <w:rFonts w:hint="eastAsia" w:ascii="仿宋" w:hAnsi="仿宋" w:eastAsia="仿宋" w:cs="Times New Roman"/>
          <w:kern w:val="0"/>
          <w:sz w:val="32"/>
          <w:szCs w:val="32"/>
        </w:rPr>
        <w:t>增值税电子发票服务平台安全管理保证书</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联系人：</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联系电话：</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邮箱地址：</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法人代表签名：</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XX公司（电子发票服务平台所有者）（签章）</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年</w:t>
      </w:r>
      <w:r>
        <w:rPr>
          <w:rFonts w:ascii="Calibri" w:hAnsi="Calibri" w:eastAsia="仿宋" w:cs="Calibri"/>
          <w:kern w:val="0"/>
          <w:sz w:val="32"/>
          <w:szCs w:val="32"/>
        </w:rPr>
        <w:t>   </w:t>
      </w:r>
      <w:r>
        <w:rPr>
          <w:rFonts w:hint="eastAsia" w:ascii="仿宋" w:hAnsi="仿宋" w:eastAsia="仿宋" w:cs="黑体"/>
          <w:kern w:val="0"/>
          <w:sz w:val="32"/>
          <w:szCs w:val="32"/>
        </w:rPr>
        <w:t xml:space="preserve"> </w:t>
      </w:r>
      <w:r>
        <w:rPr>
          <w:rFonts w:hint="eastAsia" w:ascii="仿宋" w:hAnsi="仿宋" w:eastAsia="仿宋" w:cs="Times New Roman"/>
          <w:kern w:val="0"/>
          <w:sz w:val="32"/>
          <w:szCs w:val="32"/>
        </w:rPr>
        <w:t>月</w:t>
      </w:r>
      <w:r>
        <w:rPr>
          <w:rFonts w:ascii="Calibri" w:hAnsi="Calibri" w:eastAsia="仿宋" w:cs="Calibri"/>
          <w:kern w:val="0"/>
          <w:sz w:val="32"/>
          <w:szCs w:val="32"/>
        </w:rPr>
        <w:t>   </w:t>
      </w:r>
      <w:r>
        <w:rPr>
          <w:rFonts w:hint="eastAsia" w:ascii="仿宋" w:hAnsi="仿宋" w:eastAsia="仿宋" w:cs="黑体"/>
          <w:kern w:val="0"/>
          <w:sz w:val="32"/>
          <w:szCs w:val="32"/>
        </w:rPr>
        <w:t xml:space="preserve"> </w:t>
      </w:r>
      <w:r>
        <w:rPr>
          <w:rFonts w:hint="eastAsia" w:ascii="仿宋" w:hAnsi="仿宋" w:eastAsia="仿宋" w:cs="Times New Roman"/>
          <w:kern w:val="0"/>
          <w:sz w:val="32"/>
          <w:szCs w:val="32"/>
        </w:rPr>
        <w:t>日</w:t>
      </w:r>
    </w:p>
    <w:p>
      <w:pPr>
        <w:widowControl/>
        <w:adjustRightInd w:val="0"/>
        <w:snapToGrid w:val="0"/>
        <w:spacing w:line="360" w:lineRule="auto"/>
        <w:ind w:firstLine="640" w:firstLineChars="200"/>
        <w:jc w:val="right"/>
        <w:rPr>
          <w:rFonts w:ascii="仿宋" w:hAnsi="仿宋" w:eastAsia="仿宋" w:cs="Times New Roman"/>
          <w:kern w:val="0"/>
          <w:sz w:val="32"/>
          <w:szCs w:val="32"/>
        </w:rPr>
      </w:pPr>
    </w:p>
    <w:p>
      <w:pPr>
        <w:pStyle w:val="5"/>
        <w:adjustRightInd w:val="0"/>
        <w:snapToGrid w:val="0"/>
        <w:spacing w:before="0" w:after="0" w:line="360" w:lineRule="auto"/>
        <w:jc w:val="center"/>
        <w:rPr>
          <w:rFonts w:ascii="仿宋" w:hAnsi="仿宋" w:eastAsia="仿宋" w:cs="Times New Roman"/>
          <w:kern w:val="0"/>
        </w:rPr>
      </w:pPr>
      <w:bookmarkStart w:id="226" w:name="_Toc33451093"/>
      <w:bookmarkStart w:id="227" w:name="_Toc34141515"/>
      <w:r>
        <w:rPr>
          <w:rFonts w:hint="eastAsia" w:ascii="仿宋" w:hAnsi="仿宋" w:eastAsia="仿宋"/>
          <w:bCs w:val="0"/>
        </w:rPr>
        <w:t>陕西省人民政府办公厅关于印发应对新冠肺炎疫情支持中小微企业稳定健康发展若干措施的通知</w:t>
      </w:r>
      <w:bookmarkEnd w:id="226"/>
      <w:r>
        <w:rPr>
          <w:rFonts w:ascii="仿宋" w:hAnsi="仿宋" w:eastAsia="仿宋"/>
          <w:b w:val="0"/>
          <w:bCs w:val="0"/>
          <w:color w:val="000000" w:themeColor="text1"/>
        </w:rPr>
        <w:br w:type="textWrapping"/>
      </w:r>
      <w:r>
        <w:rPr>
          <w:rFonts w:hint="eastAsia" w:ascii="仿宋" w:hAnsi="仿宋" w:eastAsia="仿宋" w:cs="Times New Roman"/>
          <w:kern w:val="0"/>
        </w:rPr>
        <w:t>（陕政办发[2020]4号)</w:t>
      </w:r>
      <w:bookmarkEnd w:id="227"/>
    </w:p>
    <w:p>
      <w:pPr>
        <w:widowControl/>
        <w:adjustRightInd w:val="0"/>
        <w:snapToGrid w:val="0"/>
        <w:spacing w:line="360" w:lineRule="auto"/>
        <w:jc w:val="left"/>
        <w:rPr>
          <w:rFonts w:ascii="仿宋" w:hAnsi="仿宋" w:eastAsia="仿宋" w:cs="Times New Roman"/>
          <w:kern w:val="0"/>
          <w:sz w:val="32"/>
          <w:szCs w:val="32"/>
        </w:rPr>
      </w:pPr>
      <w:r>
        <w:rPr>
          <w:rFonts w:hint="eastAsia" w:ascii="仿宋" w:hAnsi="仿宋" w:eastAsia="仿宋" w:cs="Times New Roman"/>
          <w:kern w:val="0"/>
          <w:sz w:val="32"/>
          <w:szCs w:val="32"/>
        </w:rPr>
        <w:t>各设区市人民政府，省人民政府各工作部门、各直属机构：</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《陕西省应对新冠肺炎疫情支持中小微企业稳定健康发展的若干措施》已经省政府同意，现印发给你们，请认真贯彻执行。</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陕西省人民政府办公厅</w:t>
      </w:r>
    </w:p>
    <w:p>
      <w:pPr>
        <w:widowControl/>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 xml:space="preserve">2020年2月16日 </w:t>
      </w:r>
    </w:p>
    <w:p>
      <w:pPr>
        <w:widowControl/>
        <w:adjustRightInd w:val="0"/>
        <w:snapToGrid w:val="0"/>
        <w:spacing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陕西省应对新冠肺炎疫情支持中小微企业稳定健康发展的若干措施</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坚决打赢疫情防控阻击战的重要指示精神和党中央、国务院决策部署，缓解疫情对中小微企业影响，提振发展信心，保持稳定发展，根据《工业和信息化部关于应对新型冠状病毒肺炎疫情帮助中小企业复工复产共渡难关有关工作的通知》（工信明电〔2020〕14号）和《陕西省人民政府关于坚决打赢疫情防控阻击战促进经济平稳健康发展的意见》（陕政发〔2020〕3号）精神，制定如下政策措施。</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一、有序推动复工复产。指导企业制定复工复产方案，落实疫情防控主体责任和各项措施，确保生产生活平稳有序。对涉及保障城市运行、疫情防控和群众生活必需的企业要确保正常开工。其他企业以县（区）为单位，在有序可控原则下分类施策。各级政府要按照属地化管理原则，解决中小企业在复工复产中遇到的困难，对重大事项“特事特办”“急事急办”，简化流程、快审速批。对企业多生产的重点医疗防控物资，全部由政府兜底采购收储。（责任单位：省工业和信息化厅、省发展改革委、省市场监管局，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二、减轻税费负担。列入国家确定的疫情防控重点保障物资生产企业名单的中小企业,为扩大产能新购置相关设备可向主管税务部门申请一次性税前扣除，按月向主管税务部门申请全额退还增值税增量留抵税额；运输经国家发展改革委或者工业和信息化部确定的防控重点物资和提供公共交通运输、生活服务、邮政快递的企业,可向主管税务部门申请免征对应收入的增值税；医疗卫生机构和物流企业参与疫情防控和运输防控重点物资的车辆，可凭各级应对疫情工作领导小组及应急指挥部有关证明资料，向主管税务部门申请免征2020年度车船税,已经缴纳的可申请退税或抵缴下年度税款。严格落实交通运输部关于疫情防控期间免收车辆通行费政策。旅游、住宿、餐饮、会展、商贸流通、交通运输、教育培训、文艺演出、影视剧院等受疫情影响较大的行业企业,可向主管税务部门申请免征水利建设基金和残疾人就业保障金;对因疫情导致企业发生重大损失，正常生产经营受到重大影响，缴纳房产税、城镇土地使用税确有困难的企业，可向主管税务部门申请困难减免。对确有特殊困难而不能按期缴纳税款的企业，由企业向主管税务部门申请依法办理延期缴纳税款，最长不超过3个月。（责任单位：省财政厅、省税务局、省发展改革委，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三、减免企业房租。对承租国有资产类经营用房的中小微企业，2020年2月免收房租，3—4月房租减半。对在疫情期间给予中小企业房租、标准化厂房租金、物业费用减免的县域工业集中区、小微企业创业创新基地、中小企业特色载体，省级中小企业发展专项资金给予不超过10万元的一次性奖补。支持省级以上科技企业孵化器、众创空间、大学科技园等孵化载体减免在孵企业的办公、实验、科研和生产用房的租金，从科技发展专项资金中，按照减免租金的10%给予补助。属地政府可采取适当方式给予补贴。（责任单位：省财政厅、省工业和信息化厅、省科技厅、省国资委、省税务局，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四、实施援企稳岗政策。疫情防控期间，坚持不裁员或裁员率不高于上年度全国城镇调查失业率的参保企业（不含淘汰落后产能企业、僵尸企业），失业保险稳岗返还比例由上年度实际缴费的50%提高到60%；符合困难企业稳岗返还条件的，返还标准按６个月的当地月人均失业保险金和上年末失业保险参保人数确定；30人（含）以下小微企业，依法足额缴纳失业保险费且裁员率不超过企业职工总数20%的，参照困难企业稳岗返还政策，给予3个月的失业保险金稳岗返还。（责任单位：省人力资源社会保障厅、省财政厅、省税务局，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五、加大信贷支持。扩大中小微企业贷款覆盖面，提高企业“首贷率”和信用贷款占比。确保全年中小企业信贷余额高于上年同期余额，普惠小微贷款同比增速不低于各项贷款同比增速，国有大行普惠小微贷款增速不低于20%。对因疫情出现暂时性经营困难的中小微企业不抽贷、不断贷、不压贷，对受疫情影响严重的中小微企业到期还款困难的，可予以展期或续贷，适当提高小微企业不良贷款容忍度。（责任单位：人民银行西安分行、陕西银保监局、省地方金融监管局）</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六、降低融资成本。落实通过LPR（贷款市场报价利率）降低中小企业融资成本，确保实现全省普惠小微企业贷款综合融资成本较2019年下降50个基点的政策。对受疫情影响、还款确有困难的中小企业，鼓励各大型银行在原贷款利率水平上下浮10%。建立省级疫情防控重点中小微企业“白名单”制度，名单内企业贷款利率在中小企业贷款平均利率水平上再降50个基点。对列入全国疫情防控重点保障名单的中小微企业，落实中央财政按企业实际获得贷款利率的50%进行贴息，省级财政按照人民银行再贷款利率的50%进行贴息的政策，贴息期限不超过1年。（责任单位：人民银行西安分行、陕西银保监局、省地方金融监管局、省财政厅）</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七、强化担保支持。政府性担保机构对受疫情影响严重的中小微企业减免担保费用，其中对单户担保金额500万元及以下的小微企业收取的担保费率降至1%以内，对单户担保金额500万元以上的小微企业收取的担保费率降至1.5%以内。省再担保公司对受疫情影响较大行业的担保项目，取消反担保要求，降低担保和再担保费用。（责任单位：省财政厅，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八、支持企业技术改造。按照轻重缓急，对疫情防控物资生产企业分为优先支持、重点支持和适当支持三类，分步实施。优先支持已取得生产经营许可证和产品注册证的项目，2月底前能够完成技改、达产达效，所生产医疗物资统一由省应对疫情防控领导小组统筹分配的企业，对其净化系统改造及设备投资给予50%的补助；重点支持3月底前有望完成扩能改造、形成产能，取得相关许可证和产品注册证的企业，对其净化系统改造及设备投资给予30%的补助，最高不超过500万元；适当支持3月底以后完成扩能改造、形成产能，取得相关许可证和产品注册证的企业，对其净化系统改造及设备投资给予10%的补助，最高不超过500万元。（责任单位：省工业和信息化厅）</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九、加强清欠中小微企业账款。疫情期间，政府部门及所属单位、国有企业不得以任何理由拖欠中小微企业账款，必须主动、按时、足额支付各项应付款，严禁以商业承兑汇票的方式延长还款期限，鼓励提前偿还合同账款，确保不形成新的拖欠。加大对中小微企业存量欠款清偿力度，确保年底前无分歧欠款应还尽还。（责任单位：省工业和信息化厅、省财政厅、省国资委，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完善企业服务。省促进中小企业发展工作领导小组办公室建立应对疫情联席会议制度，指导措施落地。省中小企业发展促进中心对全省中小微企业运行进行监测和研判，并做好相关政策解答。全省各级中小企业服务平台尽快组织本平台各类服务机构复工，平台及各类机构联系人在网上公示。对因疫情造成中小微企业信用评级负面影响的，暂不予以信用降级。对已成为失信主体的疫情防控领域企业，开辟信用修复绿色通道。（责任单位：省工业和信息化厅、人民银行西安分行、省发展改革委，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一、加强企业维权和法律援助。各级中小企业公共服务平台建立投诉窗口，收集汇总企业反映问题，及时报送主管部门。充分发挥各级政府部门网站信箱和12315服务热线作用，及时回应中小微企业诉求。全省各级工业和信息化、财政、税务、市场监管等部门出台涉疫情防控公证事项办事指引，司法部门开辟法律援助绿色通道。（责任单位：省工业和信息化厅、省财政厅、省司法厅、省税务局、省市场监管局，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十二、加强宣传引导。利用政府网站、广播电视媒体、平面媒体、短信和手机APP等多种形式，广泛宣传政府应对疫情为中小微企业纾困政策举措，引导中小微企业坚定信心，共克时艰。及时总结各地好的经验做法，并向全省推广。（责任单位：省工业和信息化厅，各设区市政府）</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以上政策自印发之日起实施，文中具体措施有明确期限规定的从其规定，其余有效期至新冠肺炎疫情解除止。国家出台相关政策，我省遵照执行。</w:t>
      </w:r>
    </w:p>
    <w:p>
      <w:pPr>
        <w:widowControl/>
        <w:jc w:val="left"/>
        <w:rPr>
          <w:rFonts w:ascii="仿宋" w:hAnsi="仿宋" w:eastAsia="仿宋" w:cs="Times New Roman"/>
          <w:kern w:val="0"/>
          <w:sz w:val="32"/>
          <w:szCs w:val="32"/>
        </w:rPr>
      </w:pPr>
      <w:r>
        <w:rPr>
          <w:rFonts w:ascii="仿宋" w:hAnsi="仿宋" w:eastAsia="仿宋" w:cs="Times New Roman"/>
          <w:kern w:val="0"/>
          <w:sz w:val="32"/>
          <w:szCs w:val="32"/>
        </w:rPr>
        <w:br w:type="page"/>
      </w:r>
    </w:p>
    <w:p>
      <w:pPr>
        <w:pStyle w:val="263"/>
        <w:adjustRightInd w:val="0"/>
        <w:snapToGrid w:val="0"/>
        <w:spacing w:after="0" w:line="360" w:lineRule="auto"/>
        <w:outlineLvl w:val="0"/>
        <w:rPr>
          <w:rFonts w:ascii="仿宋" w:hAnsi="仿宋" w:eastAsia="仿宋"/>
          <w:color w:val="000000" w:themeColor="text1"/>
          <w:sz w:val="32"/>
          <w:szCs w:val="32"/>
        </w:rPr>
      </w:pPr>
      <w:bookmarkStart w:id="228" w:name="_Toc34141523"/>
      <w:bookmarkStart w:id="229" w:name="_Toc33451122"/>
      <w:r>
        <w:rPr>
          <w:rFonts w:hint="eastAsia" w:ascii="仿宋" w:hAnsi="仿宋" w:eastAsia="仿宋"/>
          <w:color w:val="000000" w:themeColor="text1"/>
          <w:sz w:val="32"/>
          <w:szCs w:val="32"/>
        </w:rPr>
        <w:t>（三十一）西藏自治区</w:t>
      </w:r>
      <w:bookmarkEnd w:id="228"/>
      <w:bookmarkEnd w:id="229"/>
    </w:p>
    <w:p>
      <w:pPr>
        <w:pStyle w:val="830"/>
        <w:adjustRightInd w:val="0"/>
        <w:snapToGrid w:val="0"/>
        <w:spacing w:before="0" w:after="0" w:line="360" w:lineRule="auto"/>
        <w:jc w:val="center"/>
        <w:rPr>
          <w:rFonts w:ascii="仿宋" w:hAnsi="仿宋" w:eastAsia="仿宋" w:cs="Times New Roman"/>
          <w:bCs w:val="0"/>
          <w:kern w:val="0"/>
        </w:rPr>
      </w:pPr>
      <w:bookmarkStart w:id="230" w:name="_Toc34141524"/>
      <w:bookmarkStart w:id="231" w:name="_Toc33451123"/>
      <w:r>
        <w:rPr>
          <w:rFonts w:hint="eastAsia" w:ascii="仿宋" w:hAnsi="仿宋" w:eastAsia="仿宋" w:cs="Times New Roman"/>
          <w:bCs w:val="0"/>
          <w:kern w:val="0"/>
        </w:rPr>
        <w:t>国家税务总局西藏自治区税务局关于电子发票服务平台接入验证工作的公告</w:t>
      </w:r>
      <w:bookmarkEnd w:id="230"/>
      <w:bookmarkEnd w:id="231"/>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一、准备工作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w:t>
      </w:r>
      <w:r>
        <w:rPr>
          <w:rFonts w:ascii="仿宋" w:hAnsi="仿宋" w:eastAsia="仿宋" w:cs="Times New Roman"/>
          <w:kern w:val="0"/>
          <w:sz w:val="32"/>
          <w:szCs w:val="32"/>
        </w:rPr>
        <w:t>电子发票服务平台厂商准备工作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1.根据安全代理接口规范做好开发工作；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2.准备用于部署安全代理的机器；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3.准备测试用税控服务器；</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4.准备测试用签章服务器。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（二）税控服务器厂商准备工作</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1.准备两套厂商初始密钥（正式设备厂商保护公钥，测试设备厂商保护公钥），一套用于正式设备，一套用于长期测试设备,并提交到邮箱（地址：dzfptax@163.com）；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ascii="仿宋" w:hAnsi="仿宋" w:eastAsia="仿宋" w:cs="Times New Roman"/>
          <w:kern w:val="0"/>
          <w:sz w:val="32"/>
          <w:szCs w:val="32"/>
        </w:rPr>
        <w:t>2.准备测试税控服务器（应灌入测试密钥、写入测试税控服务器编号）。</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二、电子发票服务平台接入验证原则</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（三）充分准备原则。电子发票服务平台厂商要充分做好准备工作，严格按照税务机关下发的验证方法和工具，完成自验后再提交税务机关进行验证，验证不通过的，</w:t>
      </w:r>
      <w:r>
        <w:rPr>
          <w:rFonts w:ascii="仿宋" w:hAnsi="仿宋" w:eastAsia="仿宋" w:cs="Times New Roman"/>
          <w:kern w:val="0"/>
          <w:sz w:val="32"/>
          <w:szCs w:val="32"/>
        </w:rPr>
        <w:t>1个月内不得再次申请验证。</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三、电子发票服务平台接入验证流程</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Pr>
          <w:rFonts w:ascii="仿宋" w:hAnsi="仿宋" w:eastAsia="仿宋" w:cs="Times New Roman"/>
          <w:kern w:val="0"/>
          <w:sz w:val="32"/>
          <w:szCs w:val="32"/>
        </w:rPr>
        <w:t>UKey和测试用税务UKey的收件地址，并发送至邮箱（地址：dzfptax@163.com）。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（二）税务机关审核电子发票服务平台厂商提交的验证申请信息，将测试用平台</w:t>
      </w:r>
      <w:r>
        <w:rPr>
          <w:rFonts w:ascii="仿宋" w:hAnsi="仿宋" w:eastAsia="仿宋" w:cs="Times New Roman"/>
          <w:kern w:val="0"/>
          <w:sz w:val="32"/>
          <w:szCs w:val="32"/>
        </w:rPr>
        <w:t xml:space="preserve">UKey和测试用税务UKey邮寄至平台方提供的收件地址，将验证方法和工具发送到平台方指定邮箱。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（三）电子发票服务平台厂商使用测试用平台</w:t>
      </w:r>
      <w:r>
        <w:rPr>
          <w:rFonts w:ascii="仿宋" w:hAnsi="仿宋" w:eastAsia="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（四）电子发票服务平台厂商使用测试用税务</w:t>
      </w:r>
      <w:r>
        <w:rPr>
          <w:rFonts w:ascii="仿宋" w:hAnsi="仿宋" w:eastAsia="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（五）电子发票服务平台厂商使用测试用平台</w:t>
      </w:r>
      <w:r>
        <w:rPr>
          <w:rFonts w:ascii="仿宋" w:hAnsi="仿宋" w:eastAsia="仿宋" w:cs="Times New Roman"/>
          <w:kern w:val="0"/>
          <w:sz w:val="32"/>
          <w:szCs w:val="32"/>
        </w:rPr>
        <w:t>UKey,通过税控服务器安全代理，完成发票开具、发票上传操作，并将上传的发票生成版式文件。</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（六）电子发票服务平台厂商将待验证信息（包括：已上传发票的发票代码、号码、开票日期以及本张发票对应的版式文件）提交至邮箱（地址：</w:t>
      </w:r>
      <w:r>
        <w:rPr>
          <w:rFonts w:ascii="仿宋" w:hAnsi="仿宋" w:eastAsia="仿宋" w:cs="Times New Roman"/>
          <w:kern w:val="0"/>
          <w:sz w:val="32"/>
          <w:szCs w:val="32"/>
        </w:rPr>
        <w:t>dzfptax@163.com）。</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（七）税务机关对上报资料进行验证，向电子发票服务平台厂商反馈验证情况，并做好记录。验证通过的，即可通过各省税务局增值税发票管理系统（</w:t>
      </w:r>
      <w:r>
        <w:rPr>
          <w:rFonts w:ascii="仿宋" w:hAnsi="仿宋" w:eastAsia="仿宋" w:cs="Times New Roman"/>
          <w:kern w:val="0"/>
          <w:sz w:val="32"/>
          <w:szCs w:val="32"/>
        </w:rPr>
        <w:t>2.0版）生产环境正式接入（地址：218.206.186.23:9001）。</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附件：</w:t>
      </w:r>
      <w:r>
        <w:fldChar w:fldCharType="begin"/>
      </w:r>
      <w:r>
        <w:instrText xml:space="preserve"> HYPERLINK "http://xizang.chinatax.gov.cn/module/download/downfile.jsp?classid=0&amp;filename=dd91d15c9e6d49eca3e06780ad47ba75.docx" </w:instrText>
      </w:r>
      <w:r>
        <w:fldChar w:fldCharType="separate"/>
      </w:r>
      <w:r>
        <w:rPr>
          <w:rStyle w:val="222"/>
          <w:rFonts w:hint="eastAsia" w:ascii="仿宋" w:hAnsi="仿宋" w:eastAsia="仿宋" w:cs="Times New Roman"/>
          <w:color w:val="auto"/>
          <w:kern w:val="0"/>
          <w:sz w:val="32"/>
          <w:szCs w:val="32"/>
        </w:rPr>
        <w:t>增值税电子发票服务平台安全管理保证书</w:t>
      </w:r>
      <w:r>
        <w:rPr>
          <w:rStyle w:val="222"/>
          <w:rFonts w:ascii="仿宋" w:hAnsi="仿宋" w:eastAsia="仿宋" w:cs="Times New Roman"/>
          <w:color w:val="auto"/>
          <w:kern w:val="0"/>
          <w:sz w:val="32"/>
          <w:szCs w:val="32"/>
        </w:rPr>
        <w:t>.docx</w:t>
      </w:r>
      <w:r>
        <w:rPr>
          <w:rStyle w:val="222"/>
          <w:rFonts w:ascii="仿宋" w:hAnsi="仿宋" w:eastAsia="仿宋" w:cs="Times New Roman"/>
          <w:color w:val="auto"/>
          <w:kern w:val="0"/>
          <w:sz w:val="32"/>
          <w:szCs w:val="32"/>
        </w:rPr>
        <w:fldChar w:fldCharType="end"/>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国家税务总局西藏自治区税务局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2020年2月22日</w:t>
      </w:r>
    </w:p>
    <w:p>
      <w:pPr>
        <w:tabs>
          <w:tab w:val="left" w:pos="1260"/>
        </w:tabs>
        <w:adjustRightInd w:val="0"/>
        <w:snapToGrid w:val="0"/>
        <w:spacing w:line="360" w:lineRule="auto"/>
        <w:ind w:firstLine="640" w:firstLineChars="200"/>
        <w:rPr>
          <w:rFonts w:ascii="仿宋" w:hAnsi="仿宋" w:eastAsia="仿宋"/>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232" w:name="_Toc33451124"/>
      <w:bookmarkStart w:id="233" w:name="_Toc34141525"/>
      <w:r>
        <w:rPr>
          <w:rFonts w:hint="eastAsia" w:ascii="仿宋" w:hAnsi="仿宋" w:eastAsia="仿宋" w:cs="Times New Roman"/>
          <w:bCs w:val="0"/>
          <w:kern w:val="0"/>
        </w:rPr>
        <w:t>国家税务总局西藏自治区税务局关于充分发挥税收职能作用、全力支持疫情防控工作的通知</w:t>
      </w:r>
      <w:bookmarkEnd w:id="232"/>
      <w:r>
        <w:rPr>
          <w:rFonts w:ascii="仿宋" w:hAnsi="仿宋" w:eastAsia="仿宋"/>
          <w:b w:val="0"/>
          <w:bCs w:val="0"/>
          <w:color w:val="000000" w:themeColor="text1"/>
        </w:rPr>
        <w:br w:type="textWrapping"/>
      </w:r>
      <w:r>
        <w:rPr>
          <w:rFonts w:hint="eastAsia" w:ascii="仿宋" w:hAnsi="仿宋" w:eastAsia="仿宋" w:cs="Times New Roman"/>
          <w:bCs w:val="0"/>
          <w:kern w:val="0"/>
        </w:rPr>
        <w:t>（藏税发〔</w:t>
      </w:r>
      <w:r>
        <w:rPr>
          <w:rFonts w:ascii="仿宋" w:hAnsi="仿宋" w:eastAsia="仿宋" w:cs="Times New Roman"/>
          <w:bCs w:val="0"/>
          <w:kern w:val="0"/>
        </w:rPr>
        <w:t>2020〕5号</w:t>
      </w:r>
      <w:r>
        <w:rPr>
          <w:rFonts w:hint="eastAsia" w:ascii="仿宋" w:hAnsi="仿宋" w:eastAsia="仿宋" w:cs="Times New Roman"/>
          <w:bCs w:val="0"/>
          <w:kern w:val="0"/>
        </w:rPr>
        <w:t>）</w:t>
      </w:r>
      <w:bookmarkEnd w:id="233"/>
    </w:p>
    <w:p>
      <w:pPr>
        <w:adjustRightInd w:val="0"/>
        <w:snapToGrid w:val="0"/>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国家税务总局各市（地）税务局、国家税务总局西藏拉萨经济技术开发区税务局，局内各单位：</w:t>
      </w:r>
      <w:r>
        <w:rPr>
          <w:rFonts w:ascii="仿宋" w:hAnsi="仿宋" w:eastAsia="仿宋" w:cs="Times New Roman"/>
          <w:kern w:val="0"/>
          <w:sz w:val="32"/>
          <w:szCs w:val="32"/>
        </w:rPr>
        <w:t xml:space="preserve"> </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为深入贯彻习近平总书记关于做好新型冠状病毒感染的肺炎疫情防控工作的重要指示批示精神，全面落实党中央、国务院关于疫情防控的决策部署和税务总局党委、自治区党委政府的工作要求，自治区税务局就充分发挥税收职能作用，全力支持疫情防控工作提出以下措施，全区各级税务机关要切实把思想和行动统一到习近平总书记重要指示批示精神和中央决策部署上来，牢记初心使命，坚定信心，主动担当、积极作为，结合实际逐项逐条认真抓好贯彻落实。</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一、着力帮助纳税人纾难解困</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全面落实好小微企业普惠性税收减免政策，自治区出台的区域性税收优惠政策，全力支持纳税人渡过难关、恢复生产经营活动。对因疫情原因导致纳税人发生重大损失、正常生产经营活动受到重大影响，缴纳城镇土地使用税确有困难的，依法办理城镇土地使用税困难减免。落实好受疫情影响较大的困难行业企业</w:t>
      </w:r>
      <w:r>
        <w:rPr>
          <w:rFonts w:ascii="仿宋" w:hAnsi="仿宋" w:eastAsia="仿宋" w:cs="Times New Roman"/>
          <w:kern w:val="0"/>
          <w:sz w:val="32"/>
          <w:szCs w:val="32"/>
        </w:rPr>
        <w:t>2020年度发生的亏损最长结转年限由5年延长至8年的政策。对受疫情影响的定期定额户，合理简化停业手续，结合实际情况及时调整定额。疫情防控期间，对受疫情影响不能按期办理纳税申报的，依法及时准予延期申报；符合延期缴纳税款条件的，依法及时准予延</w:t>
      </w:r>
      <w:r>
        <w:rPr>
          <w:rFonts w:hint="eastAsia" w:ascii="仿宋" w:hAnsi="仿宋" w:eastAsia="仿宋" w:cs="Times New Roman"/>
          <w:kern w:val="0"/>
          <w:sz w:val="32"/>
          <w:szCs w:val="32"/>
        </w:rPr>
        <w:t>期缴纳税款，最长不超过</w:t>
      </w:r>
      <w:r>
        <w:rPr>
          <w:rFonts w:ascii="仿宋" w:hAnsi="仿宋" w:eastAsia="仿宋" w:cs="Times New Roman"/>
          <w:kern w:val="0"/>
          <w:sz w:val="32"/>
          <w:szCs w:val="32"/>
        </w:rPr>
        <w:t>3个月。加大“银税互动”工作力度，鼓励金融机构对受疫情影响较大的企业提供纳税信用贷款支持，切实缓解企业资金周转困难。</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二、着力支持开展疫情防控救治</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最大力度支持医疗机构开展疫情防控救治、生产服务工作，全面落实支持医疗机构、医药用品生产、医疗服务等相关的增值税、城镇土地使用税减免等各项税费政策。</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三、着力支持一线抗疫医护人员</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全面落实好参加疫情防治工作的医务人员和防疫工作者按照政府规定标准取得的临时性工作补助和奖金，免征个人所得税的政策。疫情防控期间，对参加疫情防治工作的医务人员和防疫工作者，暂缓开展</w:t>
      </w:r>
      <w:r>
        <w:rPr>
          <w:rFonts w:ascii="仿宋" w:hAnsi="仿宋" w:eastAsia="仿宋" w:cs="Times New Roman"/>
          <w:kern w:val="0"/>
          <w:sz w:val="32"/>
          <w:szCs w:val="32"/>
        </w:rPr>
        <w:t>2019年度个人所得税汇算清缴，后续工作采取简化流程、专人辅导、便捷办理等措施，最大力度支持医务人员和防疫工作者全身心投入到疫情防治工作中。</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四、着力支持疫情防控物资供应</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疫情防控期间，对生产和销售防治药品、防控器械、检测仪器、消杀制剂等的纳税人，及时落实相关减税降费政策。落实好疫情防控重点保障物资生产企业为扩大产能新购置的相关设备支出企业所得税税前扣除政策；疫情防控重点保障物资生产企业可以按月向主管税务机关申请全额退还增值税增量留抵税额。落实好对运输疫情防控重点保障物资和提供公共交通运输服务、生活服务，以及为居民提供必需生活物资快递收派服务取得的收入免征增值税政策。加快办理相关企业增值税留抵退税，按其实际需求配发发票，全力支持相关企业开业、复业、扩大产能和生产经营规模。</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五、着力支持居民生活物资保障</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加强政策宣传辅导，全面落实好农产品生产、流通环节增值税优惠政策，国家储备商品有关增值税、城镇土地使用税、印花税优惠政策，以及支持农产品批发市场、农贸市场发展优惠政策，保障各级供销社、农牧民合作社依法享受税收优惠政策，全力支持保障物资供应和人民群众生产生活。</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六、着力支持企业攻关研发投入</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大力支持企业加大疫情防控相关的科技攻关及研发投入，全面落实好研发费用加计扣除政策，以及技术转让、技术开发免征增值税，技术转让所得减免企业所得税等政策。</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七、着力支持企业开展疫情防控</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落实好单位发给个人用于预防新型冠状病毒感染的肺炎的药品、医疗用品和防护用品等实物，免征个人所得税政策。对企业购买口罩、酒精等疫情防控物资产生的合理支出，受疫情影响停工、停产等发生的资产损失，以及企业员工隔离、治疗、观察期间的工资薪金支出，按规定全面落实企业所得税税前扣除政策。</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八、着力鼓励社会各界公益捐赠</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全面落实好企业和个人有关疫情防控公益捐赠的企业所得税和个人所得税税前扣除政策，鼓励社会各界倾情倾力支持疫情防控工作。</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九、着力拓展办税缴费服务举措</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进一步优化完善电子税务局功能，保障系统运行稳定，加强系统操作宣传。按照“网上办税为主、自助办税为辅、办税服务厅兜底”的思路，积极拓展“非接触式”办税缴费服务，加强政策宣传辅导，引导纳税人缴费人选择电子税务局、手机</w:t>
      </w:r>
      <w:r>
        <w:rPr>
          <w:rFonts w:ascii="仿宋" w:hAnsi="仿宋" w:eastAsia="仿宋" w:cs="Times New Roman"/>
          <w:kern w:val="0"/>
          <w:sz w:val="32"/>
          <w:szCs w:val="32"/>
        </w:rPr>
        <w:t>APP、自助办税终端、单位社保费申报客户端、纳税服务热线等线上方式了解税费政策、办理税费业务。对纳税人缴费人遇到的个性化问题和需求，税务机关通过12366纳税服务热线、预约电话、各办税平台的服务专线等多种渠道，提供全方位、精准化服务。</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十、着力营造安全高效办税环境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全面落实好各项办税缴税服务制度，落实好导税服务、首问责任制等工作，方便纳税人缴费人快捷办理相关税费业务。加强办税服务厅应急管理，提前制定应急预案，确保及时化解和处置各类风险隐患和突发情况。落实好税务总局统一部署的延长</w:t>
      </w:r>
      <w:r>
        <w:rPr>
          <w:rFonts w:ascii="仿宋" w:hAnsi="仿宋" w:eastAsia="仿宋" w:cs="Times New Roman"/>
          <w:kern w:val="0"/>
          <w:sz w:val="32"/>
          <w:szCs w:val="32"/>
        </w:rPr>
        <w:t>2月份纳税申报期限的相关工作要求。严格落实对办税服务厅室内通风、卫生检测、清洁消毒等疫情防控措施；对确需到办税缴费服务场所办理业务的纳税人，提醒其做好防护工作，并为其提供预约、分时、错峰服务，最大限度降低疫情传播风险，着力营造安全高效的办税缴费环境。</w:t>
      </w:r>
    </w:p>
    <w:p>
      <w:pPr>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全区各级税务机关要及时将贯彻落实情况以及在贯彻落实过程中遇到的新问题、新情况及时向自治区税务局报告。</w:t>
      </w:r>
    </w:p>
    <w:p>
      <w:pPr>
        <w:adjustRightInd w:val="0"/>
        <w:snapToGrid w:val="0"/>
        <w:spacing w:line="360" w:lineRule="auto"/>
        <w:ind w:firstLine="640" w:firstLineChars="200"/>
        <w:jc w:val="right"/>
        <w:rPr>
          <w:rFonts w:ascii="仿宋" w:hAnsi="仿宋" w:eastAsia="仿宋" w:cs="Times New Roman"/>
          <w:kern w:val="0"/>
          <w:sz w:val="32"/>
          <w:szCs w:val="32"/>
        </w:rPr>
      </w:pPr>
      <w:r>
        <w:rPr>
          <w:rFonts w:hint="eastAsia" w:ascii="仿宋" w:hAnsi="仿宋" w:eastAsia="仿宋" w:cs="Times New Roman"/>
          <w:kern w:val="0"/>
          <w:sz w:val="32"/>
          <w:szCs w:val="32"/>
        </w:rPr>
        <w:t>国家税务总局西藏自治区税务局</w:t>
      </w:r>
    </w:p>
    <w:p>
      <w:pPr>
        <w:adjustRightInd w:val="0"/>
        <w:snapToGrid w:val="0"/>
        <w:spacing w:line="360" w:lineRule="auto"/>
        <w:ind w:firstLine="640" w:firstLineChars="200"/>
        <w:jc w:val="right"/>
        <w:rPr>
          <w:rFonts w:ascii="仿宋" w:hAnsi="仿宋" w:eastAsia="仿宋" w:cs="Times New Roman"/>
          <w:kern w:val="0"/>
          <w:sz w:val="32"/>
          <w:szCs w:val="32"/>
        </w:rPr>
      </w:pPr>
      <w:r>
        <w:rPr>
          <w:rFonts w:ascii="仿宋" w:hAnsi="仿宋" w:eastAsia="仿宋" w:cs="Times New Roman"/>
          <w:kern w:val="0"/>
          <w:sz w:val="32"/>
          <w:szCs w:val="32"/>
        </w:rPr>
        <w:t>2020年2月9日</w:t>
      </w:r>
    </w:p>
    <w:p>
      <w:pPr>
        <w:adjustRightInd w:val="0"/>
        <w:snapToGrid w:val="0"/>
        <w:spacing w:line="360" w:lineRule="auto"/>
        <w:ind w:firstLine="640" w:firstLineChars="200"/>
        <w:jc w:val="right"/>
        <w:rPr>
          <w:rFonts w:ascii="仿宋" w:hAnsi="仿宋" w:eastAsia="仿宋" w:cs="Times New Roman"/>
          <w:kern w:val="0"/>
          <w:sz w:val="32"/>
          <w:szCs w:val="32"/>
        </w:rPr>
      </w:pPr>
    </w:p>
    <w:p>
      <w:pPr>
        <w:pStyle w:val="830"/>
        <w:adjustRightInd w:val="0"/>
        <w:snapToGrid w:val="0"/>
        <w:spacing w:before="0" w:after="0" w:line="360" w:lineRule="auto"/>
        <w:jc w:val="center"/>
        <w:rPr>
          <w:rFonts w:ascii="仿宋" w:hAnsi="仿宋" w:eastAsia="仿宋" w:cs="Times New Roman"/>
          <w:bCs w:val="0"/>
          <w:kern w:val="0"/>
        </w:rPr>
      </w:pPr>
      <w:bookmarkStart w:id="234" w:name="_Toc34141526"/>
      <w:bookmarkStart w:id="235" w:name="_Toc33451125"/>
      <w:r>
        <w:rPr>
          <w:rFonts w:hint="eastAsia" w:ascii="仿宋" w:hAnsi="仿宋" w:eastAsia="仿宋" w:cs="Times New Roman"/>
          <w:bCs w:val="0"/>
          <w:kern w:val="0"/>
        </w:rPr>
        <w:t>国家税务总局西藏自治区税务局速查看！</w:t>
      </w:r>
      <w:r>
        <w:rPr>
          <w:rFonts w:ascii="仿宋" w:hAnsi="仿宋" w:eastAsia="仿宋" w:cs="Times New Roman"/>
          <w:bCs w:val="0"/>
          <w:kern w:val="0"/>
        </w:rPr>
        <w:t xml:space="preserve"> 我区“预约办税”和“错峰办税”服务指南</w:t>
      </w:r>
      <w:bookmarkEnd w:id="234"/>
      <w:bookmarkEnd w:id="235"/>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疫情就是命令，防控就是责任！为了您的健康和安全，我们倡议广大纳税（缴费）人遵循“涉税事、线上办，非必须、不窗口”原则，尽可能选择西藏自治区电子税务局、扣缴客户端、移动App、自助办税终端等“非接触式”的线上办理途径，减少赴办税服务场所实体窗口现场办税次数，最大程度降低交叉感染风险。同时为保障纳税（缴费）人的安全和办税权益，西藏税务系统已做好办税服务场所的通风、消毒等防控工作，并全面推出了 “预约办税”和“错峰办税”服务措施，请知晓！</w:t>
      </w:r>
    </w:p>
    <w:p>
      <w:pPr>
        <w:adjustRightInd w:val="0"/>
        <w:snapToGrid w:val="0"/>
        <w:spacing w:line="360" w:lineRule="auto"/>
        <w:ind w:firstLine="640" w:firstLineChars="200"/>
        <w:outlineLvl w:val="0"/>
        <w:rPr>
          <w:rFonts w:ascii="仿宋" w:hAnsi="仿宋" w:eastAsia="仿宋" w:cs="Times New Roman"/>
          <w:kern w:val="0"/>
          <w:sz w:val="32"/>
          <w:szCs w:val="32"/>
        </w:rPr>
      </w:pPr>
      <w:r>
        <w:rPr>
          <w:rFonts w:hint="eastAsia" w:ascii="仿宋" w:hAnsi="仿宋" w:eastAsia="仿宋" w:cs="Times New Roman"/>
          <w:kern w:val="0"/>
          <w:sz w:val="32"/>
          <w:szCs w:val="32"/>
        </w:rPr>
        <w:t>一、纳税（缴费）人如需咨询问题或办理业务，可拨打下列电话：</w:t>
      </w:r>
    </w:p>
    <w:p>
      <w:pPr>
        <w:adjustRightInd w:val="0"/>
        <w:snapToGrid w:val="0"/>
        <w:spacing w:line="360" w:lineRule="auto"/>
        <w:ind w:firstLine="640" w:firstLineChars="200"/>
        <w:outlineLvl w:val="0"/>
        <w:rPr>
          <w:rFonts w:ascii="仿宋" w:hAnsi="仿宋" w:eastAsia="仿宋" w:cs="宋体"/>
          <w:kern w:val="0"/>
          <w:sz w:val="32"/>
          <w:szCs w:val="32"/>
        </w:rPr>
      </w:pPr>
      <w:r>
        <w:rPr>
          <w:rFonts w:hint="eastAsia" w:ascii="仿宋" w:hAnsi="仿宋" w:eastAsia="仿宋" w:cs="宋体"/>
          <w:bCs/>
          <w:kern w:val="0"/>
          <w:sz w:val="32"/>
          <w:szCs w:val="32"/>
        </w:rPr>
        <w:t>（</w:t>
      </w:r>
      <w:r>
        <w:rPr>
          <w:rFonts w:hint="eastAsia" w:ascii="仿宋" w:hAnsi="仿宋" w:eastAsia="仿宋" w:cs="Times New Roman"/>
          <w:kern w:val="0"/>
          <w:sz w:val="32"/>
          <w:szCs w:val="32"/>
        </w:rPr>
        <w:t>一）咨询电话</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西藏自治区纳税服务热线：12366</w:t>
      </w:r>
    </w:p>
    <w:p>
      <w:pPr>
        <w:adjustRightInd w:val="0"/>
        <w:snapToGrid w:val="0"/>
        <w:spacing w:line="360" w:lineRule="auto"/>
        <w:ind w:firstLine="643" w:firstLineChars="200"/>
        <w:outlineLvl w:val="0"/>
        <w:rPr>
          <w:rFonts w:ascii="仿宋" w:hAnsi="仿宋" w:eastAsia="仿宋" w:cs="宋体"/>
          <w:kern w:val="0"/>
          <w:sz w:val="32"/>
          <w:szCs w:val="32"/>
        </w:rPr>
      </w:pPr>
      <w:r>
        <w:rPr>
          <w:rFonts w:hint="eastAsia" w:ascii="仿宋" w:hAnsi="仿宋" w:eastAsia="仿宋" w:cs="宋体"/>
          <w:b/>
          <w:bCs/>
          <w:kern w:val="0"/>
          <w:sz w:val="32"/>
          <w:szCs w:val="32"/>
        </w:rPr>
        <w:t>（二）系统服务电话</w:t>
      </w:r>
    </w:p>
    <w:tbl>
      <w:tblPr>
        <w:tblStyle w:val="88"/>
        <w:tblW w:w="782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75"/>
        <w:gridCol w:w="4404"/>
        <w:gridCol w:w="24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75"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序号</w:t>
            </w:r>
          </w:p>
        </w:tc>
        <w:tc>
          <w:tcPr>
            <w:tcW w:w="440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单位</w:t>
            </w:r>
          </w:p>
        </w:tc>
        <w:tc>
          <w:tcPr>
            <w:tcW w:w="2450"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75" w:type="dxa"/>
            <w:tcBorders>
              <w:top w:val="nil"/>
              <w:left w:val="single" w:color="000000" w:sz="6" w:space="0"/>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404"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电子税务局运维服务热线</w:t>
            </w:r>
          </w:p>
        </w:tc>
        <w:tc>
          <w:tcPr>
            <w:tcW w:w="2450"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0891-6834234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75" w:type="dxa"/>
            <w:tcBorders>
              <w:top w:val="nil"/>
              <w:left w:val="single" w:color="000000" w:sz="6" w:space="0"/>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404"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西藏航天信息服务热线</w:t>
            </w:r>
          </w:p>
        </w:tc>
        <w:tc>
          <w:tcPr>
            <w:tcW w:w="2450"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0891-95113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75" w:type="dxa"/>
            <w:tcBorders>
              <w:top w:val="nil"/>
              <w:left w:val="single" w:color="000000" w:sz="6" w:space="0"/>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404"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西藏百旺</w:t>
            </w:r>
          </w:p>
        </w:tc>
        <w:tc>
          <w:tcPr>
            <w:tcW w:w="2450" w:type="dxa"/>
            <w:tcBorders>
              <w:top w:val="nil"/>
              <w:left w:val="nil"/>
              <w:bottom w:val="single" w:color="000000" w:sz="6" w:space="0"/>
              <w:right w:val="single" w:color="000000" w:sz="6" w:space="0"/>
            </w:tcBorders>
            <w:tcMar>
              <w:top w:w="0" w:type="dxa"/>
              <w:left w:w="105" w:type="dxa"/>
              <w:bottom w:w="0" w:type="dxa"/>
              <w:right w:w="105" w:type="dxa"/>
            </w:tcMa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0891-6810583</w:t>
            </w:r>
          </w:p>
        </w:tc>
      </w:tr>
    </w:tbl>
    <w:p>
      <w:pPr>
        <w:adjustRightInd w:val="0"/>
        <w:snapToGrid w:val="0"/>
        <w:spacing w:line="360" w:lineRule="auto"/>
        <w:ind w:firstLine="643" w:firstLineChars="200"/>
        <w:rPr>
          <w:rFonts w:ascii="仿宋" w:hAnsi="仿宋" w:eastAsia="仿宋" w:cs="宋体"/>
          <w:b/>
          <w:bCs/>
          <w:kern w:val="0"/>
          <w:sz w:val="32"/>
          <w:szCs w:val="32"/>
        </w:rPr>
      </w:pPr>
    </w:p>
    <w:p>
      <w:pPr>
        <w:adjustRightInd w:val="0"/>
        <w:snapToGrid w:val="0"/>
        <w:spacing w:line="360" w:lineRule="auto"/>
        <w:ind w:firstLine="643" w:firstLineChars="200"/>
        <w:outlineLvl w:val="0"/>
        <w:rPr>
          <w:rFonts w:ascii="仿宋" w:hAnsi="仿宋" w:eastAsia="仿宋" w:cs="宋体"/>
          <w:kern w:val="0"/>
          <w:sz w:val="32"/>
          <w:szCs w:val="32"/>
        </w:rPr>
      </w:pPr>
      <w:r>
        <w:rPr>
          <w:rFonts w:hint="eastAsia" w:ascii="仿宋" w:hAnsi="仿宋" w:eastAsia="仿宋" w:cs="宋体"/>
          <w:b/>
          <w:bCs/>
          <w:kern w:val="0"/>
          <w:sz w:val="32"/>
          <w:szCs w:val="32"/>
        </w:rPr>
        <w:t>（三）预约办税电话</w:t>
      </w: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西藏自治区税务局预约电话</w:t>
      </w:r>
    </w:p>
    <w:tbl>
      <w:tblPr>
        <w:tblStyle w:val="88"/>
        <w:tblW w:w="719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1"/>
        <w:gridCol w:w="4368"/>
        <w:gridCol w:w="21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9"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序号</w:t>
            </w:r>
          </w:p>
        </w:tc>
        <w:tc>
          <w:tcPr>
            <w:tcW w:w="4536"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单位</w:t>
            </w:r>
          </w:p>
        </w:tc>
        <w:tc>
          <w:tcPr>
            <w:tcW w:w="195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85" w:hRule="atLeast"/>
          <w:jc w:val="center"/>
        </w:trPr>
        <w:tc>
          <w:tcPr>
            <w:tcW w:w="709"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536" w:type="dxa"/>
            <w:tcBorders>
              <w:top w:val="nil"/>
              <w:left w:val="nil"/>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国家税务总局西藏自治区税务局第二税务分局</w:t>
            </w:r>
          </w:p>
        </w:tc>
        <w:tc>
          <w:tcPr>
            <w:tcW w:w="1954" w:type="dxa"/>
            <w:tcBorders>
              <w:top w:val="nil"/>
              <w:left w:val="nil"/>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0891-6835700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709"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国家税务总局西藏自治区税务局第二税务分局</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（藏青工业园区税务所）</w:t>
            </w:r>
          </w:p>
        </w:tc>
        <w:tc>
          <w:tcPr>
            <w:tcW w:w="195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18935599060</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拉萨经济技术开发区税务局预约电话</w:t>
      </w:r>
      <w:r>
        <w:rPr>
          <w:rFonts w:hint="eastAsia" w:ascii="仿宋" w:hAnsi="仿宋" w:eastAsia="仿宋" w:cs="宋体"/>
          <w:kern w:val="0"/>
          <w:sz w:val="32"/>
          <w:szCs w:val="32"/>
        </w:rPr>
        <w:t xml:space="preserve"> </w:t>
      </w:r>
    </w:p>
    <w:tbl>
      <w:tblPr>
        <w:tblStyle w:val="88"/>
        <w:tblW w:w="723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8"/>
        <w:gridCol w:w="4402"/>
        <w:gridCol w:w="21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5"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575"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1950"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1" w:hRule="atLeast"/>
          <w:jc w:val="center"/>
        </w:trPr>
        <w:tc>
          <w:tcPr>
            <w:tcW w:w="70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5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国家税务总局拉萨经济技术开发区税务局</w:t>
            </w:r>
          </w:p>
        </w:tc>
        <w:tc>
          <w:tcPr>
            <w:tcW w:w="195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0891-6283681</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拉萨市税务局办税预约电话</w:t>
      </w:r>
    </w:p>
    <w:tbl>
      <w:tblPr>
        <w:tblStyle w:val="88"/>
        <w:tblW w:w="7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57"/>
        <w:gridCol w:w="4298"/>
        <w:gridCol w:w="21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0" w:hRule="atLeast"/>
          <w:tblHeader/>
          <w:jc w:val="center"/>
        </w:trPr>
        <w:tc>
          <w:tcPr>
            <w:tcW w:w="765"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425"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010"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国家税务总局拉萨市税务局第一税务分局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0891-6466954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8"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国家税务总局拉萨市税务局第二税务分局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0891-6153870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国家税务总局东城税务分局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0891-6364503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国家税务总局西城税务分局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0891-6370392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国家税务总局北城税务分局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0891-6382703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国家税务总局柳梧新区税务分局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0891-6856115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国家税务总局堆龙德庆区税务局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0891-6152334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国家税务总局达孜县税务局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0891-6142137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国家税务总局曲水县税务局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0891-6162183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国家税务总局墨竹工卡县税务局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0891-6132120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国家税务总局林周县税务局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0891-6122979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国家税务总局尼木县税务局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0891-6172213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4"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13</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国家税务总局当雄县税务局</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0891-6112161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14</w:t>
            </w:r>
          </w:p>
        </w:tc>
        <w:tc>
          <w:tcPr>
            <w:tcW w:w="44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国家税务总局拉萨市税务局社保缴费大厅</w:t>
            </w:r>
          </w:p>
        </w:tc>
        <w:tc>
          <w:tcPr>
            <w:tcW w:w="201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0891-6333973</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日喀则市税务局办税预约电话</w:t>
      </w:r>
    </w:p>
    <w:tbl>
      <w:tblPr>
        <w:tblStyle w:val="88"/>
        <w:tblW w:w="735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44"/>
        <w:gridCol w:w="4546"/>
        <w:gridCol w:w="21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blHeader/>
          <w:jc w:val="center"/>
        </w:trPr>
        <w:tc>
          <w:tcPr>
            <w:tcW w:w="645"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560"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160"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1"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国家税务总局日喀则市税务局第一税务分局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0892-8825491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国家税务总局日喀则市税务局第二税务分局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0892-8829033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国家税务总局桑珠孜区税务局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0892-8830228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国家税务总局仁布县税务局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0892-8182333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国家税务总局江孜县税务局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0892-8175533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国家税务总局亚东县税务局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0892-8222372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国家税务总局萨嘎县税务局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0892-8202588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国家税务总局仲巴县税务局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0892-8292132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国家税务总局拉孜县税务局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18313786894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国家税务总局定结县税务局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0892-8252811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国家税务总局谢通门县税务局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0892-8332111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国家税务总局萨迦县税务局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0892-8242334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13</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国家税务总局南木林县税务局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0892-8342178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14</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国家税务总局康马县税务局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0892-8212199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15</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国家税务总局岗巴县税务局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0892-8232203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16</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国家税务总局昂仁县税务局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0892-8312156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17</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国家税务总局白朗县税务局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0892-8302131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18</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国家税务总局定日县税务局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0892-8262126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19</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国家税务总局吉隆县税务局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0892-8282122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20</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国家税务总局聂拉木县税务局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0892-8743930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21</w:t>
            </w:r>
          </w:p>
        </w:tc>
        <w:tc>
          <w:tcPr>
            <w:tcW w:w="45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国家税务总局吉隆口岸分局</w:t>
            </w:r>
          </w:p>
        </w:tc>
        <w:tc>
          <w:tcPr>
            <w:tcW w:w="21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0892-8919516</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山南市税务局办税预约电话</w:t>
      </w:r>
    </w:p>
    <w:tbl>
      <w:tblPr>
        <w:tblStyle w:val="88"/>
        <w:tblW w:w="745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7"/>
        <w:gridCol w:w="4536"/>
        <w:gridCol w:w="222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tblHeader/>
          <w:jc w:val="center"/>
        </w:trPr>
        <w:tc>
          <w:tcPr>
            <w:tcW w:w="697"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536"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226"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国家税务总局山南市税务局第一税务分局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0893-7908836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国家税务总局山南市税务局第二税务分局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0893-7666631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84"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国家税务总局山南市税务局社保缴费大厅</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市局管辖0893-7892948</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乃东管辖0893-7821785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国家税务总局山南市乃东区税务局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0893-7800137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国家税务总局贡嘎县税务局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0893-7392560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国家税务总局贡嘎县机场税务所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0893-7392560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国家税务总局曲松县税务局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0893-7332222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国家税务总局加查县税务局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0893-7322146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国家税务总局隆子县税务局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0893-7342170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1"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国家税务总局扎囊县税务局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0893-7362828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国家税务总局琼结县税务局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0893-7352115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国家税务总局洛扎县税务局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0893-7373222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13</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国家税务总局桑日县税务局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0893-7312225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14</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国家税务总局浪卡子县税务局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0893-7382664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15</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国家税务总局措美县税务局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0893-7402169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jc w:val="center"/>
        </w:trPr>
        <w:tc>
          <w:tcPr>
            <w:tcW w:w="69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16</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国家税务总局错那县税务局</w:t>
            </w:r>
          </w:p>
        </w:tc>
        <w:tc>
          <w:tcPr>
            <w:tcW w:w="222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0893-7302159</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林芝市税务局办税预约电话</w:t>
      </w:r>
    </w:p>
    <w:tbl>
      <w:tblPr>
        <w:tblStyle w:val="88"/>
        <w:tblW w:w="7417"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6"/>
        <w:gridCol w:w="220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5" w:hRule="atLeast"/>
          <w:jc w:val="center"/>
        </w:trPr>
        <w:tc>
          <w:tcPr>
            <w:tcW w:w="676"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536"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205"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国家税务总局林芝市税务局第一税务分局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0894-5822671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国家税务总局林芝市税务局第二税务分局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0894-5888022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国家税务总局巴宜区税务局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0894-5887379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国家税务总局波密县税务局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0894-5423421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国家税务总局米林县税务局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0894-5452310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国家税务总局工布江达县税务局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0894-5412399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国家税务总局朗县税务局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0894-5462165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国家税务总局察隅县税务局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0894-5438656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76"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5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国家税务总局墨脱县税务局</w:t>
            </w:r>
          </w:p>
        </w:tc>
        <w:tc>
          <w:tcPr>
            <w:tcW w:w="220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0894-5669973</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昌都市税务局办税预约电话</w:t>
      </w:r>
    </w:p>
    <w:tbl>
      <w:tblPr>
        <w:tblStyle w:val="8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87"/>
        <w:gridCol w:w="4442"/>
        <w:gridCol w:w="2188"/>
        <w:gridCol w:w="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34" w:type="dxa"/>
          <w:cantSplit/>
          <w:trHeight w:val="525" w:hRule="atLeast"/>
          <w:jc w:val="center"/>
        </w:trPr>
        <w:tc>
          <w:tcPr>
            <w:tcW w:w="787"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442"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188"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660"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国家税务总局昌都市税务局第一税务分局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0895-4822145</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0895-4826421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570"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国家税务总局昌都市卡若区税务局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0895-4828005</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0895-4843676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80"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国家税务总局昌都市税务局第二税务分局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0895-4822490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国家税务总局芒康县税务局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0895-4542148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国家税务总局左贡县税务局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0895-4552185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国家税务总局江达县税务局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0895-4512157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国家税务总局贡觉县税务局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0895-4532446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国家税务总局类乌齐县税务局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0895-4503261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国家税务总局丁青县税务局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0895-4592157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国家税务总局八宿县税务局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0895-4562152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国家税务总局察雅县税务局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0895-4602218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国家税务总局洛隆县税务局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0895-4572136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cantSplit/>
          <w:trHeight w:val="405" w:hRule="atLeast"/>
          <w:jc w:val="center"/>
        </w:trPr>
        <w:tc>
          <w:tcPr>
            <w:tcW w:w="787"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13</w:t>
            </w:r>
          </w:p>
        </w:tc>
        <w:tc>
          <w:tcPr>
            <w:tcW w:w="4442"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国家税务总局边坝县税务局</w:t>
            </w:r>
          </w:p>
        </w:tc>
        <w:tc>
          <w:tcPr>
            <w:tcW w:w="2222" w:type="dxa"/>
            <w:gridSpan w:val="2"/>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0895-4582347</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那曲市税务局办税预约电话</w:t>
      </w:r>
    </w:p>
    <w:tbl>
      <w:tblPr>
        <w:tblStyle w:val="88"/>
        <w:tblW w:w="74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48"/>
        <w:gridCol w:w="4434"/>
        <w:gridCol w:w="219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8" w:hRule="atLeast"/>
          <w:jc w:val="center"/>
        </w:trPr>
        <w:tc>
          <w:tcPr>
            <w:tcW w:w="848"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43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19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0"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国家税务总局那曲市税务局第一税务分局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0896-3831635</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0896-3829559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1"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国家税务总局那曲市色尼区税务局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0896-3820124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2"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国家税务总局安多县税务局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0896-3662213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1"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国家税务总局巴青县税务局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0896-3612145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1"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国家税务总局班戈县税务局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0896-3672152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6"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国家税务总局索县税务局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0896-3702366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7"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国家税务总局比如县税务局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0896-3622058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1"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国家税务总局嘉黎县税务局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0896-3632433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7"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国家税务总局聂荣县税务局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0896-3652316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国家税务总局尼玛县税务局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0896-3712127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7"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国家税务总局申扎县税务局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0896-3682355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1" w:hRule="atLeast"/>
          <w:jc w:val="center"/>
        </w:trPr>
        <w:tc>
          <w:tcPr>
            <w:tcW w:w="84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44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国家税务总局双湖县税务局</w:t>
            </w:r>
          </w:p>
        </w:tc>
        <w:tc>
          <w:tcPr>
            <w:tcW w:w="21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0896-3692888</w:t>
            </w:r>
          </w:p>
        </w:tc>
      </w:tr>
    </w:tbl>
    <w:p>
      <w:pPr>
        <w:widowControl/>
        <w:shd w:val="clear" w:color="auto" w:fill="FFFFFF"/>
        <w:adjustRightInd w:val="0"/>
        <w:snapToGrid w:val="0"/>
        <w:spacing w:line="360" w:lineRule="auto"/>
        <w:ind w:firstLine="643" w:firstLineChars="200"/>
        <w:jc w:val="center"/>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center"/>
        <w:rPr>
          <w:rFonts w:ascii="仿宋" w:hAnsi="仿宋" w:eastAsia="仿宋" w:cs="宋体"/>
          <w:kern w:val="0"/>
          <w:sz w:val="32"/>
          <w:szCs w:val="32"/>
        </w:rPr>
      </w:pPr>
      <w:r>
        <w:rPr>
          <w:rFonts w:hint="eastAsia" w:ascii="仿宋" w:hAnsi="仿宋" w:eastAsia="仿宋" w:cs="宋体"/>
          <w:b/>
          <w:bCs/>
          <w:kern w:val="0"/>
          <w:sz w:val="32"/>
          <w:szCs w:val="32"/>
        </w:rPr>
        <w:t>阿里地区税务局办税预约电话</w:t>
      </w:r>
    </w:p>
    <w:tbl>
      <w:tblPr>
        <w:tblStyle w:val="88"/>
        <w:tblW w:w="7577"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98"/>
        <w:gridCol w:w="4394"/>
        <w:gridCol w:w="22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6" w:hRule="atLeast"/>
          <w:tblHeader/>
          <w:jc w:val="center"/>
        </w:trPr>
        <w:tc>
          <w:tcPr>
            <w:tcW w:w="898"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439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285"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预约电话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国家税务总局噶尔县税务局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0897-2823971</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0897-2828792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国家税务总局普兰县税务局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0897-2602358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国家税务总局措勤县税务局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0897-2612103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国家税务总局革吉县税务局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0897-2632198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国家税务总局札达县税务局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0897-2622184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国家税务总局日土县税务局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0897-2642254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国家税务总局改则县税务局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0897-2652057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国家税务总局阿里地区税务局第一税务分局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0897-2821995</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0897-2829842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898"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439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国家税务总局阿里地区税务局第二税务分局</w:t>
            </w:r>
          </w:p>
        </w:tc>
        <w:tc>
          <w:tcPr>
            <w:tcW w:w="2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0897-2822636</w:t>
            </w:r>
          </w:p>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0897-2821329</w:t>
            </w:r>
          </w:p>
        </w:tc>
      </w:tr>
    </w:tbl>
    <w:p>
      <w:pPr>
        <w:widowControl/>
        <w:shd w:val="clear" w:color="auto" w:fill="FFFFFF"/>
        <w:adjustRightInd w:val="0"/>
        <w:snapToGrid w:val="0"/>
        <w:spacing w:line="360" w:lineRule="auto"/>
        <w:ind w:firstLine="643" w:firstLineChars="200"/>
        <w:jc w:val="left"/>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left"/>
        <w:outlineLvl w:val="0"/>
        <w:rPr>
          <w:rFonts w:ascii="仿宋" w:hAnsi="仿宋" w:eastAsia="仿宋" w:cs="宋体"/>
          <w:kern w:val="0"/>
          <w:sz w:val="32"/>
          <w:szCs w:val="32"/>
        </w:rPr>
      </w:pPr>
      <w:r>
        <w:rPr>
          <w:rFonts w:hint="eastAsia" w:ascii="仿宋" w:hAnsi="仿宋" w:eastAsia="仿宋" w:cs="宋体"/>
          <w:b/>
          <w:bCs/>
          <w:kern w:val="0"/>
          <w:sz w:val="32"/>
          <w:szCs w:val="32"/>
        </w:rPr>
        <w:t>二、错峰办税，选择24小时自助办税终端</w:t>
      </w:r>
    </w:p>
    <w:p>
      <w:pPr>
        <w:adjustRightInd w:val="0"/>
        <w:snapToGrid w:val="0"/>
        <w:spacing w:line="360" w:lineRule="auto"/>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（一）亮点功能</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24小时自助终端设备实现了7大类功能：实名认证登录、发票领用（增值税普票、专票）、代开发票（增值税普票、专票）、发票相关证明服务（发票认证、增值税专票和普票报税）、完税相关证明服务（个人纳税记录打印、完税证明打印、缴款书打印）、税收宣传（各类政策查询）、涉税信息查询、下载（办税进度查询）。如需办理这类业务，可选择24小时自助办税，进行错峰办理。</w:t>
      </w:r>
    </w:p>
    <w:p>
      <w:pPr>
        <w:widowControl/>
        <w:shd w:val="clear" w:color="auto" w:fill="FFFFFF"/>
        <w:adjustRightInd w:val="0"/>
        <w:snapToGrid w:val="0"/>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最便民的举措是我区各市地的24小时自助办税终端已实现“全市地通办业务”，如拉萨市税务局纳税人在拉萨市任意一个24小时自助办税终端网点就近选择可办理上述涉税业务，如遇到问题，可拨打0891-95113。</w:t>
      </w:r>
    </w:p>
    <w:p>
      <w:pPr>
        <w:adjustRightInd w:val="0"/>
        <w:snapToGrid w:val="0"/>
        <w:spacing w:line="360" w:lineRule="auto"/>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（二）全区24小时自助办税终端网点分布</w:t>
      </w:r>
    </w:p>
    <w:tbl>
      <w:tblPr>
        <w:tblStyle w:val="88"/>
        <w:tblW w:w="9064"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1"/>
        <w:gridCol w:w="1134"/>
        <w:gridCol w:w="1285"/>
        <w:gridCol w:w="3109"/>
        <w:gridCol w:w="28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tblHeader/>
          <w:jc w:val="center"/>
        </w:trPr>
        <w:tc>
          <w:tcPr>
            <w:tcW w:w="701" w:type="dxa"/>
            <w:tcBorders>
              <w:top w:val="single" w:color="000000" w:sz="6" w:space="0"/>
              <w:left w:val="single" w:color="000000" w:sz="6" w:space="0"/>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序号</w:t>
            </w:r>
          </w:p>
        </w:tc>
        <w:tc>
          <w:tcPr>
            <w:tcW w:w="1134"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市地</w:t>
            </w:r>
          </w:p>
        </w:tc>
        <w:tc>
          <w:tcPr>
            <w:tcW w:w="1285"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所在区县</w:t>
            </w:r>
          </w:p>
        </w:tc>
        <w:tc>
          <w:tcPr>
            <w:tcW w:w="3109"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单位</w:t>
            </w:r>
          </w:p>
        </w:tc>
        <w:tc>
          <w:tcPr>
            <w:tcW w:w="2835" w:type="dxa"/>
            <w:tcBorders>
              <w:top w:val="single" w:color="000000" w:sz="6" w:space="0"/>
              <w:left w:val="nil"/>
              <w:bottom w:val="single" w:color="000000" w:sz="6" w:space="0"/>
              <w:right w:val="single" w:color="000000" w:sz="6" w:space="0"/>
            </w:tcBorders>
            <w:shd w:val="clear" w:color="auto" w:fill="7030A0"/>
            <w:tcMar>
              <w:top w:w="0" w:type="dxa"/>
              <w:left w:w="105" w:type="dxa"/>
              <w:bottom w:w="0" w:type="dxa"/>
              <w:right w:w="105" w:type="dxa"/>
            </w:tcMar>
            <w:vAlign w:val="center"/>
          </w:tcPr>
          <w:p>
            <w:pPr>
              <w:widowControl/>
              <w:adjustRightInd w:val="0"/>
              <w:snapToGrid w:val="0"/>
              <w:jc w:val="center"/>
              <w:rPr>
                <w:rFonts w:ascii="仿宋" w:hAnsi="仿宋" w:eastAsia="仿宋" w:cs="宋体"/>
                <w:b/>
                <w:bCs/>
                <w:kern w:val="0"/>
                <w:sz w:val="32"/>
                <w:szCs w:val="32"/>
              </w:rPr>
            </w:pPr>
            <w:r>
              <w:rPr>
                <w:rFonts w:hint="eastAsia" w:ascii="仿宋" w:hAnsi="仿宋" w:eastAsia="仿宋" w:cs="宋体"/>
                <w:b/>
                <w:bCs/>
                <w:kern w:val="0"/>
                <w:sz w:val="32"/>
                <w:szCs w:val="32"/>
              </w:rPr>
              <w:t>网点地址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0"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城关区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国家税务总局拉萨经济技术开发区税务局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拉萨市经济技术开发区创新创业园B栋5楼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2</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城关区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国家税务总局东城税务分局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拉萨市纳金路39号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3</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城关区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国家税务总局西城税务分局</w:t>
            </w:r>
            <w:r>
              <w:rPr>
                <w:rFonts w:ascii="Calibri" w:hAnsi="Calibri" w:eastAsia="仿宋" w:cs="Calibri"/>
                <w:kern w:val="0"/>
                <w:sz w:val="32"/>
                <w:szCs w:val="32"/>
              </w:rPr>
              <w:t> </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拉萨市北京西路20号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4</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城关区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国家税务总局北城税务分局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拉萨市娘热路24号附2号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3"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5</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柳梧新区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国家税务总局柳梧新区税务分局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拉萨市柳梧新区柳梧大厦二楼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6</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拉萨市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堆龙德庆区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国家税务总局堆龙德庆区税务局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堆龙德庆区青藏路1号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7</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国家税务总局日喀则市税务局第一税务分局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日喀则市桑珠孜区上海中路9号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8</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国家税务总局桑珠孜区税务局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日喀则市桑珠孜区珠峰路15号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9</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山南市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乃东区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国家税务总局山南市乃东区税务局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山南市乃东区泽当镇湖北大道3号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1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10</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林芝市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巴宜区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国家税务总局林芝市税务局第一税务分局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林芝市巴宜区八一镇平安路91号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7"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11</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林芝市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巴宜区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国家税务总局巴宜区税务局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林芝市巴宜区八一镇平安路91号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12</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昌都市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卡若区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国家税务总局昌都市卡若区税务局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昌都市昌庆街桥头B区（西藏移动通信有限责任公司昌都分公司门面）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6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13</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那曲市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那曲市</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国家税务总局那曲市税务局第一税务分局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那曲市浙江中路105号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14</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那曲市</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色尼区</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国家税务总局那曲市色尼区税务局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那曲市文化西路142号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701"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15</w:t>
            </w:r>
          </w:p>
        </w:tc>
        <w:tc>
          <w:tcPr>
            <w:tcW w:w="1134"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阿里地区</w:t>
            </w:r>
          </w:p>
        </w:tc>
        <w:tc>
          <w:tcPr>
            <w:tcW w:w="128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噶尔县</w:t>
            </w:r>
          </w:p>
        </w:tc>
        <w:tc>
          <w:tcPr>
            <w:tcW w:w="3109"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国家税务总局阿里地区税务局第一分局税务局</w:t>
            </w:r>
          </w:p>
        </w:tc>
        <w:tc>
          <w:tcPr>
            <w:tcW w:w="28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widowControl/>
              <w:adjustRightInd w:val="0"/>
              <w:snapToGrid w:val="0"/>
              <w:jc w:val="left"/>
              <w:rPr>
                <w:rFonts w:ascii="仿宋" w:hAnsi="仿宋" w:eastAsia="仿宋" w:cs="宋体"/>
                <w:kern w:val="0"/>
                <w:sz w:val="32"/>
                <w:szCs w:val="32"/>
              </w:rPr>
            </w:pPr>
            <w:r>
              <w:rPr>
                <w:rFonts w:hint="eastAsia" w:ascii="仿宋" w:hAnsi="仿宋" w:eastAsia="仿宋" w:cs="宋体"/>
                <w:kern w:val="0"/>
                <w:sz w:val="32"/>
                <w:szCs w:val="32"/>
              </w:rPr>
              <w:t>噶尔县狮泉河东路15号</w:t>
            </w:r>
          </w:p>
        </w:tc>
      </w:tr>
    </w:tbl>
    <w:p>
      <w:pPr>
        <w:widowControl/>
        <w:shd w:val="clear" w:color="auto" w:fill="FFFFFF"/>
        <w:adjustRightInd w:val="0"/>
        <w:snapToGrid w:val="0"/>
        <w:spacing w:line="360" w:lineRule="auto"/>
        <w:ind w:firstLine="643" w:firstLineChars="200"/>
        <w:jc w:val="left"/>
        <w:rPr>
          <w:rFonts w:ascii="仿宋" w:hAnsi="仿宋" w:eastAsia="仿宋" w:cs="宋体"/>
          <w:b/>
          <w:bCs/>
          <w:kern w:val="0"/>
          <w:sz w:val="32"/>
          <w:szCs w:val="32"/>
        </w:rPr>
      </w:pPr>
    </w:p>
    <w:p>
      <w:pPr>
        <w:widowControl/>
        <w:shd w:val="clear" w:color="auto" w:fill="FFFFFF"/>
        <w:adjustRightInd w:val="0"/>
        <w:snapToGrid w:val="0"/>
        <w:spacing w:line="360" w:lineRule="auto"/>
        <w:ind w:firstLine="643" w:firstLineChars="200"/>
        <w:jc w:val="left"/>
        <w:rPr>
          <w:rFonts w:ascii="仿宋" w:hAnsi="仿宋" w:eastAsia="仿宋" w:cs="宋体"/>
          <w:b/>
          <w:bCs/>
          <w:kern w:val="0"/>
          <w:sz w:val="32"/>
          <w:szCs w:val="32"/>
        </w:rPr>
      </w:pPr>
    </w:p>
    <w:sectPr>
      <w:pgSz w:w="11906" w:h="16838"/>
      <w:pgMar w:top="1440" w:right="1474" w:bottom="1440" w:left="1531" w:header="851" w:footer="37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Garamond">
    <w:panose1 w:val="02020404030301010803"/>
    <w:charset w:val="00"/>
    <w:family w:val="roman"/>
    <w:pitch w:val="default"/>
    <w:sig w:usb0="00000287" w:usb1="00000000" w:usb2="00000000" w:usb3="00000000" w:csb0="0000009F" w:csb1="DFD70000"/>
  </w:font>
  <w:font w:name="PMingLiU">
    <w:panose1 w:val="02020500000000000000"/>
    <w:charset w:val="88"/>
    <w:family w:val="roman"/>
    <w:pitch w:val="default"/>
    <w:sig w:usb0="A00002FF" w:usb1="28CFFCFA" w:usb2="00000016" w:usb3="00000000" w:csb0="00100001" w:csb1="00000000"/>
  </w:font>
  <w:font w:name="Arial Narrow">
    <w:panose1 w:val="020B0606020202030204"/>
    <w:charset w:val="00"/>
    <w:family w:val="swiss"/>
    <w:pitch w:val="default"/>
    <w:sig w:usb0="00000287" w:usb1="00000800" w:usb2="00000000" w:usb3="00000000" w:csb0="2000009F" w:csb1="DFD70000"/>
  </w:font>
  <w:font w:name="Stempel Garamond">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imes New Roman Bold">
    <w:altName w:val="Times New Roman"/>
    <w:panose1 w:val="02020803070505020304"/>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Sim Sun">
    <w:altName w:val="宋体"/>
    <w:panose1 w:val="00000000000000000000"/>
    <w:charset w:val="86"/>
    <w:family w:val="swiss"/>
    <w:pitch w:val="default"/>
    <w:sig w:usb0="00000000" w:usb1="00000000" w:usb2="00000010" w:usb3="00000000" w:csb0="00040000" w:csb1="00000000"/>
  </w:font>
  <w:font w:name="汉仪中黑简">
    <w:altName w:val="黑体"/>
    <w:panose1 w:val="00000000000000000000"/>
    <w:charset w:val="86"/>
    <w:family w:val="auto"/>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Bahnschrift Light SemiCondensed">
    <w:altName w:val="Segoe Print"/>
    <w:panose1 w:val="00000000000000000000"/>
    <w:charset w:val="00"/>
    <w:family w:val="swiss"/>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悠黑_512B">
    <w:altName w:val="黑体"/>
    <w:panose1 w:val="00000000000000000000"/>
    <w:charset w:val="86"/>
    <w:family w:val="auto"/>
    <w:pitch w:val="default"/>
    <w:sig w:usb0="00000000" w:usb1="00000000"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509075"/>
      <w:docPartObj>
        <w:docPartGallery w:val="AutoText"/>
      </w:docPartObj>
    </w:sdtPr>
    <w:sdtContent>
      <w:p>
        <w:pPr>
          <w:pStyle w:val="55"/>
          <w:jc w:val="cente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uto" w:sz="6" w:space="3"/>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5"/>
      <w:lvlText w:val="%1."/>
      <w:lvlJc w:val="left"/>
      <w:pPr>
        <w:tabs>
          <w:tab w:val="left" w:pos="2712"/>
        </w:tabs>
        <w:ind w:left="2712" w:hanging="360"/>
      </w:pPr>
    </w:lvl>
  </w:abstractNum>
  <w:abstractNum w:abstractNumId="1">
    <w:nsid w:val="FFFFFF7D"/>
    <w:multiLevelType w:val="singleLevel"/>
    <w:tmpl w:val="FFFFFF7D"/>
    <w:lvl w:ilvl="0" w:tentative="0">
      <w:start w:val="1"/>
      <w:numFmt w:val="decimal"/>
      <w:pStyle w:val="47"/>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36"/>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14"/>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46"/>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209"/>
        </w:tabs>
        <w:ind w:left="1209" w:hanging="360"/>
      </w:pPr>
      <w:rPr>
        <w:rFonts w:hint="default" w:ascii="Symbol" w:hAnsi="Symbol"/>
      </w:rPr>
    </w:lvl>
  </w:abstractNum>
  <w:abstractNum w:abstractNumId="6">
    <w:nsid w:val="FFFFFF83"/>
    <w:multiLevelType w:val="singleLevel"/>
    <w:tmpl w:val="FFFFFF83"/>
    <w:lvl w:ilvl="0" w:tentative="0">
      <w:start w:val="1"/>
      <w:numFmt w:val="bullet"/>
      <w:pStyle w:val="376"/>
      <w:lvlText w:val=""/>
      <w:lvlJc w:val="left"/>
      <w:pPr>
        <w:tabs>
          <w:tab w:val="left" w:pos="567"/>
        </w:tabs>
        <w:ind w:left="567" w:hanging="283"/>
      </w:pPr>
      <w:rPr>
        <w:rFonts w:hint="default" w:ascii="Symbol" w:hAnsi="Symbol"/>
      </w:rPr>
    </w:lvl>
  </w:abstractNum>
  <w:abstractNum w:abstractNumId="7">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8">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
    <w:nsid w:val="16AF5E4B"/>
    <w:multiLevelType w:val="multilevel"/>
    <w:tmpl w:val="16AF5E4B"/>
    <w:lvl w:ilvl="0" w:tentative="0">
      <w:start w:val="1"/>
      <w:numFmt w:val="bullet"/>
      <w:pStyle w:val="402"/>
      <w:lvlText w:val=""/>
      <w:lvlJc w:val="left"/>
      <w:pPr>
        <w:tabs>
          <w:tab w:val="left" w:pos="227"/>
        </w:tabs>
        <w:ind w:left="227" w:hanging="227"/>
      </w:pPr>
      <w:rPr>
        <w:rFonts w:hint="default" w:ascii="Symbol" w:hAnsi="Symbol"/>
        <w:color w:val="auto"/>
      </w:rPr>
    </w:lvl>
    <w:lvl w:ilvl="1" w:tentative="0">
      <w:start w:val="1"/>
      <w:numFmt w:val="bullet"/>
      <w:pStyle w:val="403"/>
      <w:lvlText w:val=""/>
      <w:lvlJc w:val="left"/>
      <w:pPr>
        <w:tabs>
          <w:tab w:val="left" w:pos="454"/>
        </w:tabs>
        <w:ind w:left="454" w:hanging="227"/>
      </w:pPr>
      <w:rPr>
        <w:rFonts w:hint="default" w:ascii="Symbol" w:hAnsi="Symbol"/>
      </w:rPr>
    </w:lvl>
    <w:lvl w:ilvl="2" w:tentative="0">
      <w:start w:val="1"/>
      <w:numFmt w:val="lowerRoman"/>
      <w:lvlText w:val="%3)"/>
      <w:lvlJc w:val="left"/>
      <w:pPr>
        <w:tabs>
          <w:tab w:val="left" w:pos="1080"/>
        </w:tabs>
        <w:ind w:left="1080" w:hanging="360"/>
      </w:pPr>
      <w:rPr>
        <w:rFonts w:hint="default"/>
      </w:rPr>
    </w:lvl>
    <w:lvl w:ilvl="3" w:tentative="0">
      <w:start w:val="1"/>
      <w:numFmt w:val="decimal"/>
      <w:lvlText w:val="(%4)"/>
      <w:lvlJc w:val="left"/>
      <w:pPr>
        <w:tabs>
          <w:tab w:val="left" w:pos="1440"/>
        </w:tabs>
        <w:ind w:left="1440" w:hanging="360"/>
      </w:pPr>
      <w:rPr>
        <w:rFonts w:hint="default"/>
      </w:rPr>
    </w:lvl>
    <w:lvl w:ilvl="4" w:tentative="0">
      <w:start w:val="1"/>
      <w:numFmt w:val="lowerLetter"/>
      <w:lvlText w:val="(%5)"/>
      <w:lvlJc w:val="left"/>
      <w:pPr>
        <w:tabs>
          <w:tab w:val="left" w:pos="1800"/>
        </w:tabs>
        <w:ind w:left="1800" w:hanging="360"/>
      </w:pPr>
      <w:rPr>
        <w:rFonts w:hint="default"/>
      </w:rPr>
    </w:lvl>
    <w:lvl w:ilvl="5" w:tentative="0">
      <w:start w:val="1"/>
      <w:numFmt w:val="lowerRoman"/>
      <w:lvlText w:val="(%6)"/>
      <w:lvlJc w:val="left"/>
      <w:pPr>
        <w:tabs>
          <w:tab w:val="left" w:pos="2160"/>
        </w:tabs>
        <w:ind w:left="2160" w:hanging="360"/>
      </w:pPr>
      <w:rPr>
        <w:rFonts w:hint="default"/>
      </w:rPr>
    </w:lvl>
    <w:lvl w:ilvl="6" w:tentative="0">
      <w:start w:val="1"/>
      <w:numFmt w:val="decimal"/>
      <w:lvlText w:val="%7."/>
      <w:lvlJc w:val="left"/>
      <w:pPr>
        <w:tabs>
          <w:tab w:val="left" w:pos="2520"/>
        </w:tabs>
        <w:ind w:left="2520" w:hanging="360"/>
      </w:pPr>
      <w:rPr>
        <w:rFonts w:hint="default"/>
      </w:rPr>
    </w:lvl>
    <w:lvl w:ilvl="7" w:tentative="0">
      <w:start w:val="1"/>
      <w:numFmt w:val="lowerLetter"/>
      <w:lvlText w:val="%8."/>
      <w:lvlJc w:val="left"/>
      <w:pPr>
        <w:tabs>
          <w:tab w:val="left" w:pos="2880"/>
        </w:tabs>
        <w:ind w:left="2880" w:hanging="360"/>
      </w:pPr>
      <w:rPr>
        <w:rFonts w:hint="default"/>
      </w:rPr>
    </w:lvl>
    <w:lvl w:ilvl="8" w:tentative="0">
      <w:start w:val="1"/>
      <w:numFmt w:val="lowerRoman"/>
      <w:lvlText w:val="%9."/>
      <w:lvlJc w:val="left"/>
      <w:pPr>
        <w:tabs>
          <w:tab w:val="left" w:pos="3240"/>
        </w:tabs>
        <w:ind w:left="3240" w:hanging="360"/>
      </w:pPr>
      <w:rPr>
        <w:rFonts w:hint="default"/>
      </w:rPr>
    </w:lvl>
  </w:abstractNum>
  <w:abstractNum w:abstractNumId="10">
    <w:nsid w:val="172D3E9F"/>
    <w:multiLevelType w:val="multilevel"/>
    <w:tmpl w:val="172D3E9F"/>
    <w:lvl w:ilvl="0" w:tentative="0">
      <w:start w:val="1"/>
      <w:numFmt w:val="upperRoman"/>
      <w:lvlText w:val="Article %1."/>
      <w:lvlJc w:val="left"/>
      <w:pPr>
        <w:tabs>
          <w:tab w:val="left" w:pos="1440"/>
        </w:tabs>
        <w:ind w:left="0" w:firstLine="0"/>
      </w:pPr>
    </w:lvl>
    <w:lvl w:ilvl="1" w:tentative="0">
      <w:start w:val="1"/>
      <w:numFmt w:val="decimalZero"/>
      <w:isLgl/>
      <w:lvlText w:val="Section %1.%2"/>
      <w:lvlJc w:val="left"/>
      <w:pPr>
        <w:tabs>
          <w:tab w:val="left" w:pos="1080"/>
        </w:tabs>
        <w:ind w:left="0" w:firstLine="0"/>
      </w:pPr>
    </w:lvl>
    <w:lvl w:ilvl="2" w:tentative="0">
      <w:start w:val="1"/>
      <w:numFmt w:val="lowerLetter"/>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pStyle w:val="7"/>
      <w:lvlText w:val="%5)"/>
      <w:lvlJc w:val="left"/>
      <w:pPr>
        <w:tabs>
          <w:tab w:val="left" w:pos="1008"/>
        </w:tabs>
        <w:ind w:left="1008" w:hanging="432"/>
      </w:pPr>
    </w:lvl>
    <w:lvl w:ilvl="5" w:tentative="0">
      <w:start w:val="1"/>
      <w:numFmt w:val="lowerLetter"/>
      <w:pStyle w:val="8"/>
      <w:lvlText w:val="%6)"/>
      <w:lvlJc w:val="left"/>
      <w:pPr>
        <w:tabs>
          <w:tab w:val="left" w:pos="1152"/>
        </w:tabs>
        <w:ind w:left="1152" w:hanging="432"/>
      </w:pPr>
    </w:lvl>
    <w:lvl w:ilvl="6" w:tentative="0">
      <w:start w:val="1"/>
      <w:numFmt w:val="lowerRoman"/>
      <w:pStyle w:val="9"/>
      <w:lvlText w:val="%7)"/>
      <w:lvlJc w:val="right"/>
      <w:pPr>
        <w:tabs>
          <w:tab w:val="left" w:pos="1296"/>
        </w:tabs>
        <w:ind w:left="1296" w:hanging="288"/>
      </w:pPr>
    </w:lvl>
    <w:lvl w:ilvl="7" w:tentative="0">
      <w:start w:val="1"/>
      <w:numFmt w:val="lowerLetter"/>
      <w:pStyle w:val="10"/>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11">
    <w:nsid w:val="303A65AD"/>
    <w:multiLevelType w:val="multilevel"/>
    <w:tmpl w:val="303A65AD"/>
    <w:lvl w:ilvl="0" w:tentative="0">
      <w:start w:val="1"/>
      <w:numFmt w:val="decimal"/>
      <w:pStyle w:val="339"/>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91B7BA1"/>
    <w:multiLevelType w:val="multilevel"/>
    <w:tmpl w:val="391B7BA1"/>
    <w:lvl w:ilvl="0" w:tentative="0">
      <w:start w:val="1"/>
      <w:numFmt w:val="bullet"/>
      <w:pStyle w:val="24"/>
      <w:lvlText w:val=""/>
      <w:lvlJc w:val="left"/>
      <w:pPr>
        <w:ind w:left="170" w:hanging="170"/>
      </w:pPr>
      <w:rPr>
        <w:rFonts w:hint="default" w:ascii="Symbol" w:hAnsi="Symbol"/>
        <w:color w:val="1F497D" w:themeColor="text2"/>
        <w:sz w:val="16"/>
      </w:rPr>
    </w:lvl>
    <w:lvl w:ilvl="1" w:tentative="0">
      <w:start w:val="1"/>
      <w:numFmt w:val="bullet"/>
      <w:pStyle w:val="40"/>
      <w:lvlText w:val=""/>
      <w:lvlJc w:val="left"/>
      <w:pPr>
        <w:ind w:left="170" w:hanging="170"/>
      </w:pPr>
      <w:rPr>
        <w:rFonts w:hint="default" w:ascii="Symbol" w:hAnsi="Symbol"/>
        <w:color w:val="1F497D" w:themeColor="text2"/>
      </w:rPr>
    </w:lvl>
    <w:lvl w:ilvl="2" w:tentative="0">
      <w:start w:val="1"/>
      <w:numFmt w:val="bullet"/>
      <w:pStyle w:val="33"/>
      <w:lvlText w:val=""/>
      <w:lvlJc w:val="left"/>
      <w:pPr>
        <w:ind w:left="170" w:hanging="170"/>
      </w:pPr>
      <w:rPr>
        <w:rFonts w:hint="default" w:ascii="Symbol" w:hAnsi="Symbol"/>
        <w:color w:val="1F497D" w:themeColor="text2"/>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4EA08AA"/>
    <w:multiLevelType w:val="multilevel"/>
    <w:tmpl w:val="44EA08AA"/>
    <w:lvl w:ilvl="0" w:tentative="0">
      <w:start w:val="1"/>
      <w:numFmt w:val="upperLetter"/>
      <w:pStyle w:val="337"/>
      <w:suff w:val="nothing"/>
      <w:lvlText w:val="Appendix %1"/>
      <w:lvlJc w:val="left"/>
      <w:pPr>
        <w:ind w:left="880" w:hanging="454"/>
      </w:pPr>
      <w:rPr>
        <w:rFonts w:hint="default"/>
      </w:rPr>
    </w:lvl>
    <w:lvl w:ilvl="1" w:tentative="0">
      <w:start w:val="1"/>
      <w:numFmt w:val="none"/>
      <w:suff w:val="nothing"/>
      <w:lvlText w:val=""/>
      <w:lvlJc w:val="left"/>
      <w:pPr>
        <w:ind w:left="426" w:firstLine="0"/>
      </w:pPr>
      <w:rPr>
        <w:rFonts w:hint="default"/>
      </w:rPr>
    </w:lvl>
    <w:lvl w:ilvl="2" w:tentative="0">
      <w:start w:val="1"/>
      <w:numFmt w:val="none"/>
      <w:suff w:val="nothing"/>
      <w:lvlText w:val=""/>
      <w:lvlJc w:val="left"/>
      <w:pPr>
        <w:ind w:left="426" w:firstLine="0"/>
      </w:pPr>
      <w:rPr>
        <w:rFonts w:hint="default"/>
      </w:rPr>
    </w:lvl>
    <w:lvl w:ilvl="3" w:tentative="0">
      <w:start w:val="1"/>
      <w:numFmt w:val="none"/>
      <w:suff w:val="nothing"/>
      <w:lvlText w:val=""/>
      <w:lvlJc w:val="left"/>
      <w:pPr>
        <w:ind w:left="426" w:firstLine="0"/>
      </w:pPr>
      <w:rPr>
        <w:rFonts w:hint="default"/>
      </w:rPr>
    </w:lvl>
    <w:lvl w:ilvl="4" w:tentative="0">
      <w:start w:val="1"/>
      <w:numFmt w:val="none"/>
      <w:suff w:val="nothing"/>
      <w:lvlText w:val=""/>
      <w:lvlJc w:val="left"/>
      <w:pPr>
        <w:ind w:left="426" w:firstLine="0"/>
      </w:pPr>
      <w:rPr>
        <w:rFonts w:hint="default"/>
      </w:rPr>
    </w:lvl>
    <w:lvl w:ilvl="5" w:tentative="0">
      <w:start w:val="1"/>
      <w:numFmt w:val="none"/>
      <w:suff w:val="nothing"/>
      <w:lvlText w:val=""/>
      <w:lvlJc w:val="left"/>
      <w:pPr>
        <w:ind w:left="426" w:firstLine="0"/>
      </w:pPr>
      <w:rPr>
        <w:rFonts w:hint="default"/>
      </w:rPr>
    </w:lvl>
    <w:lvl w:ilvl="6" w:tentative="0">
      <w:start w:val="1"/>
      <w:numFmt w:val="none"/>
      <w:suff w:val="nothing"/>
      <w:lvlText w:val=""/>
      <w:lvlJc w:val="left"/>
      <w:pPr>
        <w:ind w:left="426" w:firstLine="0"/>
      </w:pPr>
      <w:rPr>
        <w:rFonts w:hint="default"/>
      </w:rPr>
    </w:lvl>
    <w:lvl w:ilvl="7" w:tentative="0">
      <w:start w:val="1"/>
      <w:numFmt w:val="none"/>
      <w:suff w:val="nothing"/>
      <w:lvlText w:val=""/>
      <w:lvlJc w:val="left"/>
      <w:pPr>
        <w:ind w:left="426" w:firstLine="0"/>
      </w:pPr>
      <w:rPr>
        <w:rFonts w:hint="default"/>
      </w:rPr>
    </w:lvl>
    <w:lvl w:ilvl="8" w:tentative="0">
      <w:start w:val="1"/>
      <w:numFmt w:val="none"/>
      <w:suff w:val="nothing"/>
      <w:lvlText w:val=""/>
      <w:lvlJc w:val="left"/>
      <w:pPr>
        <w:ind w:left="426" w:firstLine="0"/>
      </w:pPr>
      <w:rPr>
        <w:rFonts w:hint="default"/>
      </w:rPr>
    </w:lvl>
  </w:abstractNum>
  <w:abstractNum w:abstractNumId="14">
    <w:nsid w:val="55FC78EC"/>
    <w:multiLevelType w:val="multilevel"/>
    <w:tmpl w:val="55FC78EC"/>
    <w:lvl w:ilvl="0" w:tentative="0">
      <w:start w:val="1"/>
      <w:numFmt w:val="bullet"/>
      <w:pStyle w:val="338"/>
      <w:lvlText w:val=""/>
      <w:lvlJc w:val="left"/>
      <w:pPr>
        <w:tabs>
          <w:tab w:val="left" w:pos="340"/>
        </w:tabs>
        <w:ind w:left="340" w:hanging="34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8"/>
  </w:num>
  <w:num w:numId="2">
    <w:abstractNumId w:val="10"/>
  </w:num>
  <w:num w:numId="3">
    <w:abstractNumId w:val="3"/>
  </w:num>
  <w:num w:numId="4">
    <w:abstractNumId w:val="5"/>
  </w:num>
  <w:num w:numId="5">
    <w:abstractNumId w:val="7"/>
  </w:num>
  <w:num w:numId="6">
    <w:abstractNumId w:val="12"/>
  </w:num>
  <w:num w:numId="7">
    <w:abstractNumId w:val="2"/>
  </w:num>
  <w:num w:numId="8">
    <w:abstractNumId w:val="4"/>
  </w:num>
  <w:num w:numId="9">
    <w:abstractNumId w:val="1"/>
  </w:num>
  <w:num w:numId="10">
    <w:abstractNumId w:val="0"/>
  </w:num>
  <w:num w:numId="11">
    <w:abstractNumId w:val="13"/>
  </w:num>
  <w:num w:numId="12">
    <w:abstractNumId w:val="14"/>
  </w:num>
  <w:num w:numId="13">
    <w:abstractNumId w:val="11"/>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FC"/>
    <w:rsid w:val="00000111"/>
    <w:rsid w:val="00001673"/>
    <w:rsid w:val="000018A3"/>
    <w:rsid w:val="00001C1C"/>
    <w:rsid w:val="00002098"/>
    <w:rsid w:val="000025D1"/>
    <w:rsid w:val="00002FF8"/>
    <w:rsid w:val="000031BC"/>
    <w:rsid w:val="00003AAE"/>
    <w:rsid w:val="00004529"/>
    <w:rsid w:val="000048C4"/>
    <w:rsid w:val="00004B79"/>
    <w:rsid w:val="00005019"/>
    <w:rsid w:val="000053D5"/>
    <w:rsid w:val="00005629"/>
    <w:rsid w:val="0000565D"/>
    <w:rsid w:val="00005B22"/>
    <w:rsid w:val="000061F9"/>
    <w:rsid w:val="0000676E"/>
    <w:rsid w:val="0000699C"/>
    <w:rsid w:val="000071A0"/>
    <w:rsid w:val="00007332"/>
    <w:rsid w:val="0000742D"/>
    <w:rsid w:val="00007972"/>
    <w:rsid w:val="0001045A"/>
    <w:rsid w:val="00010DC5"/>
    <w:rsid w:val="00011597"/>
    <w:rsid w:val="00011E20"/>
    <w:rsid w:val="000125A5"/>
    <w:rsid w:val="0001264E"/>
    <w:rsid w:val="00012B16"/>
    <w:rsid w:val="00012B83"/>
    <w:rsid w:val="00012C50"/>
    <w:rsid w:val="00013086"/>
    <w:rsid w:val="000133C2"/>
    <w:rsid w:val="000137FB"/>
    <w:rsid w:val="00013B4F"/>
    <w:rsid w:val="000143CF"/>
    <w:rsid w:val="000145A8"/>
    <w:rsid w:val="000145CC"/>
    <w:rsid w:val="00014B82"/>
    <w:rsid w:val="00014BC6"/>
    <w:rsid w:val="00014CE9"/>
    <w:rsid w:val="00014E86"/>
    <w:rsid w:val="00015013"/>
    <w:rsid w:val="0001561E"/>
    <w:rsid w:val="00015E15"/>
    <w:rsid w:val="000168D7"/>
    <w:rsid w:val="000174AB"/>
    <w:rsid w:val="00017636"/>
    <w:rsid w:val="00017AD8"/>
    <w:rsid w:val="00017E19"/>
    <w:rsid w:val="00017FBC"/>
    <w:rsid w:val="0002104E"/>
    <w:rsid w:val="000210DE"/>
    <w:rsid w:val="0002179A"/>
    <w:rsid w:val="00021944"/>
    <w:rsid w:val="00021B32"/>
    <w:rsid w:val="00021DCE"/>
    <w:rsid w:val="00021E10"/>
    <w:rsid w:val="00022A17"/>
    <w:rsid w:val="000233F6"/>
    <w:rsid w:val="000235D1"/>
    <w:rsid w:val="0002462B"/>
    <w:rsid w:val="0002489D"/>
    <w:rsid w:val="0002554F"/>
    <w:rsid w:val="00025F63"/>
    <w:rsid w:val="000263F6"/>
    <w:rsid w:val="0002665E"/>
    <w:rsid w:val="000267D7"/>
    <w:rsid w:val="00026D9F"/>
    <w:rsid w:val="00027F64"/>
    <w:rsid w:val="00027FC1"/>
    <w:rsid w:val="00030665"/>
    <w:rsid w:val="00030DA9"/>
    <w:rsid w:val="00031720"/>
    <w:rsid w:val="000317D6"/>
    <w:rsid w:val="00031A5B"/>
    <w:rsid w:val="000320D6"/>
    <w:rsid w:val="00032207"/>
    <w:rsid w:val="000322B8"/>
    <w:rsid w:val="00032D7F"/>
    <w:rsid w:val="00033107"/>
    <w:rsid w:val="00033A37"/>
    <w:rsid w:val="00033D02"/>
    <w:rsid w:val="00034873"/>
    <w:rsid w:val="00034CAA"/>
    <w:rsid w:val="00035429"/>
    <w:rsid w:val="000354AD"/>
    <w:rsid w:val="00036309"/>
    <w:rsid w:val="0003729D"/>
    <w:rsid w:val="00037A9E"/>
    <w:rsid w:val="00037DF1"/>
    <w:rsid w:val="0004006F"/>
    <w:rsid w:val="00040215"/>
    <w:rsid w:val="00040345"/>
    <w:rsid w:val="00040361"/>
    <w:rsid w:val="000403AA"/>
    <w:rsid w:val="000409D5"/>
    <w:rsid w:val="00041268"/>
    <w:rsid w:val="00041670"/>
    <w:rsid w:val="000416CB"/>
    <w:rsid w:val="0004178D"/>
    <w:rsid w:val="00042247"/>
    <w:rsid w:val="000425BB"/>
    <w:rsid w:val="000428E3"/>
    <w:rsid w:val="00042957"/>
    <w:rsid w:val="00043459"/>
    <w:rsid w:val="000436B0"/>
    <w:rsid w:val="000438BC"/>
    <w:rsid w:val="00043A24"/>
    <w:rsid w:val="00043ACF"/>
    <w:rsid w:val="00043FB0"/>
    <w:rsid w:val="00044299"/>
    <w:rsid w:val="00044D05"/>
    <w:rsid w:val="00044F36"/>
    <w:rsid w:val="00044F65"/>
    <w:rsid w:val="00045073"/>
    <w:rsid w:val="00046066"/>
    <w:rsid w:val="00046AC3"/>
    <w:rsid w:val="00046F39"/>
    <w:rsid w:val="0004711A"/>
    <w:rsid w:val="000471AA"/>
    <w:rsid w:val="00047B15"/>
    <w:rsid w:val="00050427"/>
    <w:rsid w:val="0005079C"/>
    <w:rsid w:val="000516DB"/>
    <w:rsid w:val="000517E5"/>
    <w:rsid w:val="00052660"/>
    <w:rsid w:val="00052A3D"/>
    <w:rsid w:val="00052BD8"/>
    <w:rsid w:val="00053323"/>
    <w:rsid w:val="000534F2"/>
    <w:rsid w:val="0005353D"/>
    <w:rsid w:val="00053DAD"/>
    <w:rsid w:val="00054731"/>
    <w:rsid w:val="00054E0D"/>
    <w:rsid w:val="00054F79"/>
    <w:rsid w:val="000567AA"/>
    <w:rsid w:val="0005795D"/>
    <w:rsid w:val="00057D41"/>
    <w:rsid w:val="000603B3"/>
    <w:rsid w:val="000617B0"/>
    <w:rsid w:val="00061ABF"/>
    <w:rsid w:val="00061C6C"/>
    <w:rsid w:val="00061FBF"/>
    <w:rsid w:val="00062EC0"/>
    <w:rsid w:val="00063053"/>
    <w:rsid w:val="00063820"/>
    <w:rsid w:val="00063E34"/>
    <w:rsid w:val="00064817"/>
    <w:rsid w:val="0006489B"/>
    <w:rsid w:val="000656FC"/>
    <w:rsid w:val="00066C3D"/>
    <w:rsid w:val="00066D4B"/>
    <w:rsid w:val="00067341"/>
    <w:rsid w:val="000675DE"/>
    <w:rsid w:val="0006791D"/>
    <w:rsid w:val="0007021A"/>
    <w:rsid w:val="0007132C"/>
    <w:rsid w:val="00071754"/>
    <w:rsid w:val="00071F32"/>
    <w:rsid w:val="0007224D"/>
    <w:rsid w:val="000722F3"/>
    <w:rsid w:val="00072D45"/>
    <w:rsid w:val="00072FFA"/>
    <w:rsid w:val="00073181"/>
    <w:rsid w:val="000735BC"/>
    <w:rsid w:val="000735E7"/>
    <w:rsid w:val="00073F55"/>
    <w:rsid w:val="000742A1"/>
    <w:rsid w:val="00074D1E"/>
    <w:rsid w:val="00074DDF"/>
    <w:rsid w:val="000751D8"/>
    <w:rsid w:val="000768B3"/>
    <w:rsid w:val="00077701"/>
    <w:rsid w:val="00077BD3"/>
    <w:rsid w:val="000801D7"/>
    <w:rsid w:val="000803E4"/>
    <w:rsid w:val="0008145E"/>
    <w:rsid w:val="0008157D"/>
    <w:rsid w:val="000818CD"/>
    <w:rsid w:val="0008198D"/>
    <w:rsid w:val="000822ED"/>
    <w:rsid w:val="0008239F"/>
    <w:rsid w:val="00082739"/>
    <w:rsid w:val="000831AC"/>
    <w:rsid w:val="0008355E"/>
    <w:rsid w:val="00083B21"/>
    <w:rsid w:val="00084A2E"/>
    <w:rsid w:val="00084C40"/>
    <w:rsid w:val="0008510E"/>
    <w:rsid w:val="00086ADE"/>
    <w:rsid w:val="0008706B"/>
    <w:rsid w:val="00087B3A"/>
    <w:rsid w:val="000905AA"/>
    <w:rsid w:val="000910AA"/>
    <w:rsid w:val="000912CF"/>
    <w:rsid w:val="00091A91"/>
    <w:rsid w:val="00091F4A"/>
    <w:rsid w:val="000924A8"/>
    <w:rsid w:val="000925E4"/>
    <w:rsid w:val="000928CF"/>
    <w:rsid w:val="00092AA1"/>
    <w:rsid w:val="00092E7A"/>
    <w:rsid w:val="000930EB"/>
    <w:rsid w:val="000935FE"/>
    <w:rsid w:val="0009433F"/>
    <w:rsid w:val="0009457F"/>
    <w:rsid w:val="00094636"/>
    <w:rsid w:val="00094881"/>
    <w:rsid w:val="000948ED"/>
    <w:rsid w:val="00094C35"/>
    <w:rsid w:val="00095628"/>
    <w:rsid w:val="00095E44"/>
    <w:rsid w:val="00095FCA"/>
    <w:rsid w:val="000963A4"/>
    <w:rsid w:val="000963B2"/>
    <w:rsid w:val="00096920"/>
    <w:rsid w:val="00097760"/>
    <w:rsid w:val="00097933"/>
    <w:rsid w:val="000A0A78"/>
    <w:rsid w:val="000A0FF7"/>
    <w:rsid w:val="000A1AC8"/>
    <w:rsid w:val="000A2243"/>
    <w:rsid w:val="000A3914"/>
    <w:rsid w:val="000A489A"/>
    <w:rsid w:val="000A4D63"/>
    <w:rsid w:val="000A5D8F"/>
    <w:rsid w:val="000A6CF3"/>
    <w:rsid w:val="000A6DD8"/>
    <w:rsid w:val="000A7645"/>
    <w:rsid w:val="000A7791"/>
    <w:rsid w:val="000A77CA"/>
    <w:rsid w:val="000A7D91"/>
    <w:rsid w:val="000A7E7F"/>
    <w:rsid w:val="000B004F"/>
    <w:rsid w:val="000B0F7E"/>
    <w:rsid w:val="000B14DD"/>
    <w:rsid w:val="000B1598"/>
    <w:rsid w:val="000B1868"/>
    <w:rsid w:val="000B1B80"/>
    <w:rsid w:val="000B32A3"/>
    <w:rsid w:val="000B396B"/>
    <w:rsid w:val="000B3A90"/>
    <w:rsid w:val="000B3C5E"/>
    <w:rsid w:val="000B4502"/>
    <w:rsid w:val="000B471B"/>
    <w:rsid w:val="000B4869"/>
    <w:rsid w:val="000B48BD"/>
    <w:rsid w:val="000B4E46"/>
    <w:rsid w:val="000B511D"/>
    <w:rsid w:val="000B530D"/>
    <w:rsid w:val="000B5672"/>
    <w:rsid w:val="000B577A"/>
    <w:rsid w:val="000B5A2F"/>
    <w:rsid w:val="000B5C44"/>
    <w:rsid w:val="000B6801"/>
    <w:rsid w:val="000B681F"/>
    <w:rsid w:val="000B6B46"/>
    <w:rsid w:val="000B6D7F"/>
    <w:rsid w:val="000B6ED3"/>
    <w:rsid w:val="000B7709"/>
    <w:rsid w:val="000B7992"/>
    <w:rsid w:val="000B7D98"/>
    <w:rsid w:val="000C00BB"/>
    <w:rsid w:val="000C095B"/>
    <w:rsid w:val="000C1243"/>
    <w:rsid w:val="000C212E"/>
    <w:rsid w:val="000C2654"/>
    <w:rsid w:val="000C2871"/>
    <w:rsid w:val="000C3E72"/>
    <w:rsid w:val="000C4198"/>
    <w:rsid w:val="000C5093"/>
    <w:rsid w:val="000C55C4"/>
    <w:rsid w:val="000C672A"/>
    <w:rsid w:val="000C6755"/>
    <w:rsid w:val="000C676A"/>
    <w:rsid w:val="000C7239"/>
    <w:rsid w:val="000C7896"/>
    <w:rsid w:val="000C7EA1"/>
    <w:rsid w:val="000D0320"/>
    <w:rsid w:val="000D0687"/>
    <w:rsid w:val="000D0864"/>
    <w:rsid w:val="000D1545"/>
    <w:rsid w:val="000D1F24"/>
    <w:rsid w:val="000D2109"/>
    <w:rsid w:val="000D246E"/>
    <w:rsid w:val="000D33DD"/>
    <w:rsid w:val="000D3A3B"/>
    <w:rsid w:val="000D3B0C"/>
    <w:rsid w:val="000D3CB9"/>
    <w:rsid w:val="000D3D12"/>
    <w:rsid w:val="000D468F"/>
    <w:rsid w:val="000D4E93"/>
    <w:rsid w:val="000D5548"/>
    <w:rsid w:val="000D5C5C"/>
    <w:rsid w:val="000D6202"/>
    <w:rsid w:val="000D637A"/>
    <w:rsid w:val="000D6524"/>
    <w:rsid w:val="000D6DD3"/>
    <w:rsid w:val="000D6F9D"/>
    <w:rsid w:val="000D7ED0"/>
    <w:rsid w:val="000E03F4"/>
    <w:rsid w:val="000E04F7"/>
    <w:rsid w:val="000E078A"/>
    <w:rsid w:val="000E0868"/>
    <w:rsid w:val="000E0B97"/>
    <w:rsid w:val="000E0DB8"/>
    <w:rsid w:val="000E0F41"/>
    <w:rsid w:val="000E104B"/>
    <w:rsid w:val="000E1350"/>
    <w:rsid w:val="000E16ED"/>
    <w:rsid w:val="000E2133"/>
    <w:rsid w:val="000E2239"/>
    <w:rsid w:val="000E274E"/>
    <w:rsid w:val="000E285E"/>
    <w:rsid w:val="000E302B"/>
    <w:rsid w:val="000E3780"/>
    <w:rsid w:val="000E3AB8"/>
    <w:rsid w:val="000E3BB3"/>
    <w:rsid w:val="000E3C7E"/>
    <w:rsid w:val="000E4636"/>
    <w:rsid w:val="000E4D4E"/>
    <w:rsid w:val="000E54F9"/>
    <w:rsid w:val="000E682A"/>
    <w:rsid w:val="000E6896"/>
    <w:rsid w:val="000E6CA2"/>
    <w:rsid w:val="000E6FB3"/>
    <w:rsid w:val="000E79DD"/>
    <w:rsid w:val="000F005D"/>
    <w:rsid w:val="000F00C5"/>
    <w:rsid w:val="000F0518"/>
    <w:rsid w:val="000F088A"/>
    <w:rsid w:val="000F0F78"/>
    <w:rsid w:val="000F142B"/>
    <w:rsid w:val="000F1668"/>
    <w:rsid w:val="000F2851"/>
    <w:rsid w:val="000F2C04"/>
    <w:rsid w:val="000F3E8C"/>
    <w:rsid w:val="000F47D9"/>
    <w:rsid w:val="000F4826"/>
    <w:rsid w:val="000F48FF"/>
    <w:rsid w:val="000F54BC"/>
    <w:rsid w:val="000F5B41"/>
    <w:rsid w:val="000F5FF4"/>
    <w:rsid w:val="000F6398"/>
    <w:rsid w:val="000F6427"/>
    <w:rsid w:val="000F6758"/>
    <w:rsid w:val="000F69A4"/>
    <w:rsid w:val="000F7094"/>
    <w:rsid w:val="000F742F"/>
    <w:rsid w:val="000F7BC7"/>
    <w:rsid w:val="001003A0"/>
    <w:rsid w:val="001017EF"/>
    <w:rsid w:val="0010182C"/>
    <w:rsid w:val="00101E39"/>
    <w:rsid w:val="001020F0"/>
    <w:rsid w:val="0010244C"/>
    <w:rsid w:val="0010251C"/>
    <w:rsid w:val="001028FD"/>
    <w:rsid w:val="00102F76"/>
    <w:rsid w:val="0010323D"/>
    <w:rsid w:val="00103A23"/>
    <w:rsid w:val="001046ED"/>
    <w:rsid w:val="00104F8B"/>
    <w:rsid w:val="00105817"/>
    <w:rsid w:val="00105C26"/>
    <w:rsid w:val="00105E54"/>
    <w:rsid w:val="00106030"/>
    <w:rsid w:val="00106290"/>
    <w:rsid w:val="00106C04"/>
    <w:rsid w:val="00107A1C"/>
    <w:rsid w:val="00107CE3"/>
    <w:rsid w:val="00110194"/>
    <w:rsid w:val="00110BCA"/>
    <w:rsid w:val="00110F09"/>
    <w:rsid w:val="0011114F"/>
    <w:rsid w:val="00111518"/>
    <w:rsid w:val="00111534"/>
    <w:rsid w:val="001126EF"/>
    <w:rsid w:val="00112A09"/>
    <w:rsid w:val="00112C8E"/>
    <w:rsid w:val="00112E27"/>
    <w:rsid w:val="00113289"/>
    <w:rsid w:val="00113805"/>
    <w:rsid w:val="0011543F"/>
    <w:rsid w:val="0011567A"/>
    <w:rsid w:val="001157CE"/>
    <w:rsid w:val="001157E4"/>
    <w:rsid w:val="0011600E"/>
    <w:rsid w:val="00116E21"/>
    <w:rsid w:val="00117BA4"/>
    <w:rsid w:val="00117E33"/>
    <w:rsid w:val="001201B8"/>
    <w:rsid w:val="001202DA"/>
    <w:rsid w:val="00120794"/>
    <w:rsid w:val="00120CBE"/>
    <w:rsid w:val="0012132C"/>
    <w:rsid w:val="00121516"/>
    <w:rsid w:val="00121920"/>
    <w:rsid w:val="00121B12"/>
    <w:rsid w:val="0012238D"/>
    <w:rsid w:val="001227FF"/>
    <w:rsid w:val="00122AC3"/>
    <w:rsid w:val="00122D54"/>
    <w:rsid w:val="0012319E"/>
    <w:rsid w:val="00123862"/>
    <w:rsid w:val="00123BAB"/>
    <w:rsid w:val="00124E2D"/>
    <w:rsid w:val="0012558C"/>
    <w:rsid w:val="001257E9"/>
    <w:rsid w:val="00125C67"/>
    <w:rsid w:val="00125D10"/>
    <w:rsid w:val="00125FCF"/>
    <w:rsid w:val="00126D55"/>
    <w:rsid w:val="001272BE"/>
    <w:rsid w:val="00127BC0"/>
    <w:rsid w:val="00127BEA"/>
    <w:rsid w:val="00132749"/>
    <w:rsid w:val="001340BA"/>
    <w:rsid w:val="00134517"/>
    <w:rsid w:val="0013480C"/>
    <w:rsid w:val="001357AA"/>
    <w:rsid w:val="00135986"/>
    <w:rsid w:val="00135F56"/>
    <w:rsid w:val="0013619E"/>
    <w:rsid w:val="0013695C"/>
    <w:rsid w:val="0013706C"/>
    <w:rsid w:val="00137655"/>
    <w:rsid w:val="001378D5"/>
    <w:rsid w:val="00137A2F"/>
    <w:rsid w:val="00140A21"/>
    <w:rsid w:val="00141148"/>
    <w:rsid w:val="00141B17"/>
    <w:rsid w:val="00142A64"/>
    <w:rsid w:val="00142C38"/>
    <w:rsid w:val="00142CB9"/>
    <w:rsid w:val="0014378F"/>
    <w:rsid w:val="001439A4"/>
    <w:rsid w:val="00143A95"/>
    <w:rsid w:val="00144878"/>
    <w:rsid w:val="00145236"/>
    <w:rsid w:val="0014672D"/>
    <w:rsid w:val="00147263"/>
    <w:rsid w:val="0014731B"/>
    <w:rsid w:val="001479EC"/>
    <w:rsid w:val="00147F1B"/>
    <w:rsid w:val="00150856"/>
    <w:rsid w:val="00151103"/>
    <w:rsid w:val="00151B02"/>
    <w:rsid w:val="00152CAC"/>
    <w:rsid w:val="001533C2"/>
    <w:rsid w:val="0015354D"/>
    <w:rsid w:val="001538CF"/>
    <w:rsid w:val="00154331"/>
    <w:rsid w:val="001546FF"/>
    <w:rsid w:val="00154A88"/>
    <w:rsid w:val="001550BF"/>
    <w:rsid w:val="00155800"/>
    <w:rsid w:val="00155F98"/>
    <w:rsid w:val="00155FA6"/>
    <w:rsid w:val="001562C4"/>
    <w:rsid w:val="001562F0"/>
    <w:rsid w:val="00156CCC"/>
    <w:rsid w:val="00157CD4"/>
    <w:rsid w:val="00160893"/>
    <w:rsid w:val="001608F9"/>
    <w:rsid w:val="00160BE7"/>
    <w:rsid w:val="0016178B"/>
    <w:rsid w:val="00161B48"/>
    <w:rsid w:val="0016217D"/>
    <w:rsid w:val="0016242B"/>
    <w:rsid w:val="001627C2"/>
    <w:rsid w:val="00162898"/>
    <w:rsid w:val="0016418F"/>
    <w:rsid w:val="001647F1"/>
    <w:rsid w:val="00164C40"/>
    <w:rsid w:val="00165068"/>
    <w:rsid w:val="001654DC"/>
    <w:rsid w:val="00165E50"/>
    <w:rsid w:val="00166629"/>
    <w:rsid w:val="00167C14"/>
    <w:rsid w:val="00170112"/>
    <w:rsid w:val="001704BE"/>
    <w:rsid w:val="00171699"/>
    <w:rsid w:val="00171805"/>
    <w:rsid w:val="001718C0"/>
    <w:rsid w:val="00171C78"/>
    <w:rsid w:val="00171EF7"/>
    <w:rsid w:val="00172002"/>
    <w:rsid w:val="00172D70"/>
    <w:rsid w:val="00173056"/>
    <w:rsid w:val="0017313E"/>
    <w:rsid w:val="001731F5"/>
    <w:rsid w:val="001740CE"/>
    <w:rsid w:val="0017462F"/>
    <w:rsid w:val="00174A44"/>
    <w:rsid w:val="00174C88"/>
    <w:rsid w:val="001758FC"/>
    <w:rsid w:val="00175FCC"/>
    <w:rsid w:val="00176112"/>
    <w:rsid w:val="0017713E"/>
    <w:rsid w:val="00177DFC"/>
    <w:rsid w:val="0018038D"/>
    <w:rsid w:val="0018064E"/>
    <w:rsid w:val="00180865"/>
    <w:rsid w:val="0018088C"/>
    <w:rsid w:val="001808B5"/>
    <w:rsid w:val="00180D14"/>
    <w:rsid w:val="001810EA"/>
    <w:rsid w:val="0018160F"/>
    <w:rsid w:val="00181C18"/>
    <w:rsid w:val="00182843"/>
    <w:rsid w:val="00183333"/>
    <w:rsid w:val="00183609"/>
    <w:rsid w:val="0018379B"/>
    <w:rsid w:val="0018383C"/>
    <w:rsid w:val="00183C44"/>
    <w:rsid w:val="00184016"/>
    <w:rsid w:val="0018419F"/>
    <w:rsid w:val="001847A9"/>
    <w:rsid w:val="00184B75"/>
    <w:rsid w:val="00184C41"/>
    <w:rsid w:val="00185A1D"/>
    <w:rsid w:val="00185A32"/>
    <w:rsid w:val="00185C1B"/>
    <w:rsid w:val="00185EC7"/>
    <w:rsid w:val="00186171"/>
    <w:rsid w:val="00187795"/>
    <w:rsid w:val="00187E0A"/>
    <w:rsid w:val="001900D8"/>
    <w:rsid w:val="001907C9"/>
    <w:rsid w:val="00190F94"/>
    <w:rsid w:val="00191B42"/>
    <w:rsid w:val="001929C6"/>
    <w:rsid w:val="00192DB0"/>
    <w:rsid w:val="00192F67"/>
    <w:rsid w:val="00193334"/>
    <w:rsid w:val="00193B03"/>
    <w:rsid w:val="0019419B"/>
    <w:rsid w:val="001944A3"/>
    <w:rsid w:val="00194845"/>
    <w:rsid w:val="00194F56"/>
    <w:rsid w:val="00195749"/>
    <w:rsid w:val="0019671A"/>
    <w:rsid w:val="001975B4"/>
    <w:rsid w:val="00197679"/>
    <w:rsid w:val="00197C40"/>
    <w:rsid w:val="001A0792"/>
    <w:rsid w:val="001A0EDB"/>
    <w:rsid w:val="001A10AA"/>
    <w:rsid w:val="001A1371"/>
    <w:rsid w:val="001A1518"/>
    <w:rsid w:val="001A1A44"/>
    <w:rsid w:val="001A1BD6"/>
    <w:rsid w:val="001A238E"/>
    <w:rsid w:val="001A314C"/>
    <w:rsid w:val="001A386E"/>
    <w:rsid w:val="001A3976"/>
    <w:rsid w:val="001A3A7F"/>
    <w:rsid w:val="001A3EDF"/>
    <w:rsid w:val="001A4381"/>
    <w:rsid w:val="001A460F"/>
    <w:rsid w:val="001A4661"/>
    <w:rsid w:val="001A4F6E"/>
    <w:rsid w:val="001A5883"/>
    <w:rsid w:val="001A5DAB"/>
    <w:rsid w:val="001A643B"/>
    <w:rsid w:val="001A64AE"/>
    <w:rsid w:val="001A6A9D"/>
    <w:rsid w:val="001A72C6"/>
    <w:rsid w:val="001B04C1"/>
    <w:rsid w:val="001B053F"/>
    <w:rsid w:val="001B05B3"/>
    <w:rsid w:val="001B07E4"/>
    <w:rsid w:val="001B1023"/>
    <w:rsid w:val="001B1652"/>
    <w:rsid w:val="001B2255"/>
    <w:rsid w:val="001B243D"/>
    <w:rsid w:val="001B249B"/>
    <w:rsid w:val="001B272F"/>
    <w:rsid w:val="001B300D"/>
    <w:rsid w:val="001B312B"/>
    <w:rsid w:val="001B3398"/>
    <w:rsid w:val="001B424E"/>
    <w:rsid w:val="001B48AE"/>
    <w:rsid w:val="001B4BF0"/>
    <w:rsid w:val="001B4E8E"/>
    <w:rsid w:val="001B5332"/>
    <w:rsid w:val="001B5775"/>
    <w:rsid w:val="001B6A21"/>
    <w:rsid w:val="001B6DB9"/>
    <w:rsid w:val="001B7F12"/>
    <w:rsid w:val="001C0010"/>
    <w:rsid w:val="001C031F"/>
    <w:rsid w:val="001C0577"/>
    <w:rsid w:val="001C1888"/>
    <w:rsid w:val="001C2598"/>
    <w:rsid w:val="001C2C40"/>
    <w:rsid w:val="001C2EEA"/>
    <w:rsid w:val="001C38C8"/>
    <w:rsid w:val="001C41D2"/>
    <w:rsid w:val="001C511A"/>
    <w:rsid w:val="001C5318"/>
    <w:rsid w:val="001C5324"/>
    <w:rsid w:val="001C5C02"/>
    <w:rsid w:val="001C5D92"/>
    <w:rsid w:val="001C5DFF"/>
    <w:rsid w:val="001C6250"/>
    <w:rsid w:val="001C6639"/>
    <w:rsid w:val="001C66E6"/>
    <w:rsid w:val="001C6EE6"/>
    <w:rsid w:val="001C72CB"/>
    <w:rsid w:val="001C7311"/>
    <w:rsid w:val="001D12AB"/>
    <w:rsid w:val="001D1520"/>
    <w:rsid w:val="001D186E"/>
    <w:rsid w:val="001D18E2"/>
    <w:rsid w:val="001D19FD"/>
    <w:rsid w:val="001D1A2E"/>
    <w:rsid w:val="001D2378"/>
    <w:rsid w:val="001D34FE"/>
    <w:rsid w:val="001D410C"/>
    <w:rsid w:val="001D472E"/>
    <w:rsid w:val="001D4FDD"/>
    <w:rsid w:val="001D51B9"/>
    <w:rsid w:val="001D5908"/>
    <w:rsid w:val="001D5F80"/>
    <w:rsid w:val="001D5F93"/>
    <w:rsid w:val="001D61B2"/>
    <w:rsid w:val="001D6349"/>
    <w:rsid w:val="001D67EE"/>
    <w:rsid w:val="001D6C04"/>
    <w:rsid w:val="001D6F5E"/>
    <w:rsid w:val="001D705E"/>
    <w:rsid w:val="001D7911"/>
    <w:rsid w:val="001E051C"/>
    <w:rsid w:val="001E0CFF"/>
    <w:rsid w:val="001E0DAD"/>
    <w:rsid w:val="001E0EC5"/>
    <w:rsid w:val="001E165D"/>
    <w:rsid w:val="001E1848"/>
    <w:rsid w:val="001E1967"/>
    <w:rsid w:val="001E1C0D"/>
    <w:rsid w:val="001E1FC9"/>
    <w:rsid w:val="001E209F"/>
    <w:rsid w:val="001E236F"/>
    <w:rsid w:val="001E265F"/>
    <w:rsid w:val="001E36A8"/>
    <w:rsid w:val="001E39A1"/>
    <w:rsid w:val="001E4588"/>
    <w:rsid w:val="001E45E5"/>
    <w:rsid w:val="001E4640"/>
    <w:rsid w:val="001E5775"/>
    <w:rsid w:val="001E5BDA"/>
    <w:rsid w:val="001E6B4D"/>
    <w:rsid w:val="001E6F81"/>
    <w:rsid w:val="001E7187"/>
    <w:rsid w:val="001E7753"/>
    <w:rsid w:val="001E7CD1"/>
    <w:rsid w:val="001F00CB"/>
    <w:rsid w:val="001F02B7"/>
    <w:rsid w:val="001F0A41"/>
    <w:rsid w:val="001F1035"/>
    <w:rsid w:val="001F11A8"/>
    <w:rsid w:val="001F15BE"/>
    <w:rsid w:val="001F170F"/>
    <w:rsid w:val="001F19B5"/>
    <w:rsid w:val="001F19EB"/>
    <w:rsid w:val="001F1B8B"/>
    <w:rsid w:val="001F2237"/>
    <w:rsid w:val="001F2499"/>
    <w:rsid w:val="001F2EDA"/>
    <w:rsid w:val="001F334D"/>
    <w:rsid w:val="001F34E3"/>
    <w:rsid w:val="001F3DA7"/>
    <w:rsid w:val="001F3FA3"/>
    <w:rsid w:val="001F45D2"/>
    <w:rsid w:val="001F4F45"/>
    <w:rsid w:val="001F5194"/>
    <w:rsid w:val="001F636A"/>
    <w:rsid w:val="001F6BC0"/>
    <w:rsid w:val="001F7086"/>
    <w:rsid w:val="001F7F40"/>
    <w:rsid w:val="00200105"/>
    <w:rsid w:val="002006AC"/>
    <w:rsid w:val="002009EA"/>
    <w:rsid w:val="00200A1E"/>
    <w:rsid w:val="002014DB"/>
    <w:rsid w:val="00201732"/>
    <w:rsid w:val="00201847"/>
    <w:rsid w:val="00201FC1"/>
    <w:rsid w:val="0020211C"/>
    <w:rsid w:val="00202286"/>
    <w:rsid w:val="002025C8"/>
    <w:rsid w:val="002029AB"/>
    <w:rsid w:val="002029CC"/>
    <w:rsid w:val="002033F5"/>
    <w:rsid w:val="002043C6"/>
    <w:rsid w:val="0020473B"/>
    <w:rsid w:val="0020488B"/>
    <w:rsid w:val="00204C29"/>
    <w:rsid w:val="00204E0A"/>
    <w:rsid w:val="00205255"/>
    <w:rsid w:val="002055BC"/>
    <w:rsid w:val="00205956"/>
    <w:rsid w:val="00206B3C"/>
    <w:rsid w:val="00206FB2"/>
    <w:rsid w:val="002074A6"/>
    <w:rsid w:val="00207A9C"/>
    <w:rsid w:val="00210450"/>
    <w:rsid w:val="00210DC8"/>
    <w:rsid w:val="0021131B"/>
    <w:rsid w:val="00211347"/>
    <w:rsid w:val="00211591"/>
    <w:rsid w:val="00211BA1"/>
    <w:rsid w:val="00211E2E"/>
    <w:rsid w:val="00212616"/>
    <w:rsid w:val="0021291C"/>
    <w:rsid w:val="002130C1"/>
    <w:rsid w:val="00213171"/>
    <w:rsid w:val="002132D1"/>
    <w:rsid w:val="00213388"/>
    <w:rsid w:val="002134E4"/>
    <w:rsid w:val="00213F80"/>
    <w:rsid w:val="0021494B"/>
    <w:rsid w:val="00214C31"/>
    <w:rsid w:val="0021551A"/>
    <w:rsid w:val="002157C1"/>
    <w:rsid w:val="00217190"/>
    <w:rsid w:val="002174BA"/>
    <w:rsid w:val="00220261"/>
    <w:rsid w:val="0022074A"/>
    <w:rsid w:val="00220AB2"/>
    <w:rsid w:val="00220C2B"/>
    <w:rsid w:val="00220F62"/>
    <w:rsid w:val="002215C0"/>
    <w:rsid w:val="00221E0A"/>
    <w:rsid w:val="00222101"/>
    <w:rsid w:val="0022264C"/>
    <w:rsid w:val="00222D6A"/>
    <w:rsid w:val="0022324C"/>
    <w:rsid w:val="00223C1A"/>
    <w:rsid w:val="00223D9F"/>
    <w:rsid w:val="00223ED4"/>
    <w:rsid w:val="00224584"/>
    <w:rsid w:val="0022557C"/>
    <w:rsid w:val="00225797"/>
    <w:rsid w:val="0022596F"/>
    <w:rsid w:val="00226052"/>
    <w:rsid w:val="002261F1"/>
    <w:rsid w:val="002264FD"/>
    <w:rsid w:val="00226597"/>
    <w:rsid w:val="00226B51"/>
    <w:rsid w:val="00226F7B"/>
    <w:rsid w:val="00226F9D"/>
    <w:rsid w:val="002272FA"/>
    <w:rsid w:val="00227425"/>
    <w:rsid w:val="00227601"/>
    <w:rsid w:val="00227EF5"/>
    <w:rsid w:val="0023103E"/>
    <w:rsid w:val="002312F1"/>
    <w:rsid w:val="002314D9"/>
    <w:rsid w:val="00231E20"/>
    <w:rsid w:val="00231F45"/>
    <w:rsid w:val="0023225E"/>
    <w:rsid w:val="002326E3"/>
    <w:rsid w:val="002329C3"/>
    <w:rsid w:val="00232B51"/>
    <w:rsid w:val="00232C84"/>
    <w:rsid w:val="00233228"/>
    <w:rsid w:val="002334FB"/>
    <w:rsid w:val="00233E7C"/>
    <w:rsid w:val="00233FD1"/>
    <w:rsid w:val="00234714"/>
    <w:rsid w:val="00234AD2"/>
    <w:rsid w:val="00235385"/>
    <w:rsid w:val="002353F2"/>
    <w:rsid w:val="002354C7"/>
    <w:rsid w:val="002354E3"/>
    <w:rsid w:val="002355FE"/>
    <w:rsid w:val="00235844"/>
    <w:rsid w:val="00235E30"/>
    <w:rsid w:val="00236286"/>
    <w:rsid w:val="002372C1"/>
    <w:rsid w:val="002375CC"/>
    <w:rsid w:val="002376CE"/>
    <w:rsid w:val="00237E60"/>
    <w:rsid w:val="00237ECD"/>
    <w:rsid w:val="002404F5"/>
    <w:rsid w:val="00240649"/>
    <w:rsid w:val="0024113C"/>
    <w:rsid w:val="00242223"/>
    <w:rsid w:val="00242857"/>
    <w:rsid w:val="00242BDD"/>
    <w:rsid w:val="00242E1A"/>
    <w:rsid w:val="00243285"/>
    <w:rsid w:val="002436C3"/>
    <w:rsid w:val="00243F35"/>
    <w:rsid w:val="002443EF"/>
    <w:rsid w:val="00244548"/>
    <w:rsid w:val="00244CE6"/>
    <w:rsid w:val="00245558"/>
    <w:rsid w:val="00245669"/>
    <w:rsid w:val="00245B3F"/>
    <w:rsid w:val="00245ED0"/>
    <w:rsid w:val="002465FD"/>
    <w:rsid w:val="0024676E"/>
    <w:rsid w:val="00246A5B"/>
    <w:rsid w:val="00246ABD"/>
    <w:rsid w:val="00246B35"/>
    <w:rsid w:val="00246CE7"/>
    <w:rsid w:val="00246D40"/>
    <w:rsid w:val="00247053"/>
    <w:rsid w:val="0024733D"/>
    <w:rsid w:val="00247BED"/>
    <w:rsid w:val="00247D2B"/>
    <w:rsid w:val="002506C4"/>
    <w:rsid w:val="00250894"/>
    <w:rsid w:val="00251A64"/>
    <w:rsid w:val="00251C20"/>
    <w:rsid w:val="00252B59"/>
    <w:rsid w:val="00252C09"/>
    <w:rsid w:val="00252EA8"/>
    <w:rsid w:val="0025391E"/>
    <w:rsid w:val="00253DCE"/>
    <w:rsid w:val="00254163"/>
    <w:rsid w:val="002557D8"/>
    <w:rsid w:val="00255868"/>
    <w:rsid w:val="002558B8"/>
    <w:rsid w:val="00256F17"/>
    <w:rsid w:val="00256F29"/>
    <w:rsid w:val="00256FE7"/>
    <w:rsid w:val="002570CF"/>
    <w:rsid w:val="00257383"/>
    <w:rsid w:val="0025797A"/>
    <w:rsid w:val="002602F7"/>
    <w:rsid w:val="0026054E"/>
    <w:rsid w:val="0026093C"/>
    <w:rsid w:val="00260A20"/>
    <w:rsid w:val="00261378"/>
    <w:rsid w:val="00261544"/>
    <w:rsid w:val="00261C85"/>
    <w:rsid w:val="00261E42"/>
    <w:rsid w:val="00262F24"/>
    <w:rsid w:val="00263257"/>
    <w:rsid w:val="0026369A"/>
    <w:rsid w:val="00263C5C"/>
    <w:rsid w:val="002646DE"/>
    <w:rsid w:val="002649AF"/>
    <w:rsid w:val="00264B18"/>
    <w:rsid w:val="00264B27"/>
    <w:rsid w:val="00264BBF"/>
    <w:rsid w:val="00264EA5"/>
    <w:rsid w:val="00265903"/>
    <w:rsid w:val="00266879"/>
    <w:rsid w:val="00266A0D"/>
    <w:rsid w:val="002676A1"/>
    <w:rsid w:val="00267990"/>
    <w:rsid w:val="00267F32"/>
    <w:rsid w:val="00270C8F"/>
    <w:rsid w:val="002713FF"/>
    <w:rsid w:val="0027218E"/>
    <w:rsid w:val="0027249E"/>
    <w:rsid w:val="00272677"/>
    <w:rsid w:val="00272770"/>
    <w:rsid w:val="0027282B"/>
    <w:rsid w:val="00273D92"/>
    <w:rsid w:val="00273E26"/>
    <w:rsid w:val="002742F2"/>
    <w:rsid w:val="00274375"/>
    <w:rsid w:val="002752AC"/>
    <w:rsid w:val="002758BA"/>
    <w:rsid w:val="00275C35"/>
    <w:rsid w:val="00275FE3"/>
    <w:rsid w:val="002761C4"/>
    <w:rsid w:val="00276BD9"/>
    <w:rsid w:val="00276E4A"/>
    <w:rsid w:val="00276EC7"/>
    <w:rsid w:val="002771DD"/>
    <w:rsid w:val="00277C4F"/>
    <w:rsid w:val="0028065C"/>
    <w:rsid w:val="0028089E"/>
    <w:rsid w:val="00280986"/>
    <w:rsid w:val="00280A22"/>
    <w:rsid w:val="00280B1E"/>
    <w:rsid w:val="00280C1C"/>
    <w:rsid w:val="00280C6D"/>
    <w:rsid w:val="00280CFA"/>
    <w:rsid w:val="00280EFC"/>
    <w:rsid w:val="00280FA7"/>
    <w:rsid w:val="00281B96"/>
    <w:rsid w:val="00282CBC"/>
    <w:rsid w:val="00282CE7"/>
    <w:rsid w:val="00284218"/>
    <w:rsid w:val="00285435"/>
    <w:rsid w:val="002857F3"/>
    <w:rsid w:val="00285D68"/>
    <w:rsid w:val="00286263"/>
    <w:rsid w:val="0028654E"/>
    <w:rsid w:val="00286D68"/>
    <w:rsid w:val="002877C6"/>
    <w:rsid w:val="0028793C"/>
    <w:rsid w:val="0029058F"/>
    <w:rsid w:val="00290E18"/>
    <w:rsid w:val="0029129B"/>
    <w:rsid w:val="002913BF"/>
    <w:rsid w:val="002914D8"/>
    <w:rsid w:val="002915AC"/>
    <w:rsid w:val="00291EA1"/>
    <w:rsid w:val="002924DC"/>
    <w:rsid w:val="0029340C"/>
    <w:rsid w:val="00293821"/>
    <w:rsid w:val="00295E56"/>
    <w:rsid w:val="00297C83"/>
    <w:rsid w:val="002A036B"/>
    <w:rsid w:val="002A03DC"/>
    <w:rsid w:val="002A05CE"/>
    <w:rsid w:val="002A0C95"/>
    <w:rsid w:val="002A1420"/>
    <w:rsid w:val="002A1B98"/>
    <w:rsid w:val="002A1FB0"/>
    <w:rsid w:val="002A23C5"/>
    <w:rsid w:val="002A2C14"/>
    <w:rsid w:val="002A2C27"/>
    <w:rsid w:val="002A2E63"/>
    <w:rsid w:val="002A384E"/>
    <w:rsid w:val="002A430A"/>
    <w:rsid w:val="002A4C79"/>
    <w:rsid w:val="002A5015"/>
    <w:rsid w:val="002A5F25"/>
    <w:rsid w:val="002A6545"/>
    <w:rsid w:val="002A7E2D"/>
    <w:rsid w:val="002A7F99"/>
    <w:rsid w:val="002B0361"/>
    <w:rsid w:val="002B1729"/>
    <w:rsid w:val="002B1B35"/>
    <w:rsid w:val="002B1F70"/>
    <w:rsid w:val="002B29D6"/>
    <w:rsid w:val="002B2BFE"/>
    <w:rsid w:val="002B2EF0"/>
    <w:rsid w:val="002B33AC"/>
    <w:rsid w:val="002B361F"/>
    <w:rsid w:val="002B380D"/>
    <w:rsid w:val="002B4012"/>
    <w:rsid w:val="002B472C"/>
    <w:rsid w:val="002B4DDD"/>
    <w:rsid w:val="002B6311"/>
    <w:rsid w:val="002B6A1C"/>
    <w:rsid w:val="002B6B25"/>
    <w:rsid w:val="002C0D6B"/>
    <w:rsid w:val="002C0EAE"/>
    <w:rsid w:val="002C108D"/>
    <w:rsid w:val="002C10D2"/>
    <w:rsid w:val="002C12DA"/>
    <w:rsid w:val="002C1367"/>
    <w:rsid w:val="002C16AF"/>
    <w:rsid w:val="002C19A1"/>
    <w:rsid w:val="002C1C00"/>
    <w:rsid w:val="002C225E"/>
    <w:rsid w:val="002C2794"/>
    <w:rsid w:val="002C3050"/>
    <w:rsid w:val="002C33AC"/>
    <w:rsid w:val="002C3FA6"/>
    <w:rsid w:val="002C4164"/>
    <w:rsid w:val="002C47D2"/>
    <w:rsid w:val="002C4A72"/>
    <w:rsid w:val="002C4DAC"/>
    <w:rsid w:val="002C5185"/>
    <w:rsid w:val="002C5DF2"/>
    <w:rsid w:val="002C6164"/>
    <w:rsid w:val="002C663F"/>
    <w:rsid w:val="002C6D4D"/>
    <w:rsid w:val="002C6DFB"/>
    <w:rsid w:val="002C6F61"/>
    <w:rsid w:val="002C732B"/>
    <w:rsid w:val="002C73AB"/>
    <w:rsid w:val="002D04D2"/>
    <w:rsid w:val="002D0AD0"/>
    <w:rsid w:val="002D1169"/>
    <w:rsid w:val="002D12C0"/>
    <w:rsid w:val="002D12D0"/>
    <w:rsid w:val="002D1937"/>
    <w:rsid w:val="002D1B2D"/>
    <w:rsid w:val="002D288F"/>
    <w:rsid w:val="002D2F6F"/>
    <w:rsid w:val="002D3E31"/>
    <w:rsid w:val="002D4032"/>
    <w:rsid w:val="002D4256"/>
    <w:rsid w:val="002D4889"/>
    <w:rsid w:val="002D4D05"/>
    <w:rsid w:val="002D4EE1"/>
    <w:rsid w:val="002D552B"/>
    <w:rsid w:val="002D5531"/>
    <w:rsid w:val="002D5763"/>
    <w:rsid w:val="002D5B07"/>
    <w:rsid w:val="002D6DC9"/>
    <w:rsid w:val="002D7B14"/>
    <w:rsid w:val="002E00B5"/>
    <w:rsid w:val="002E00CD"/>
    <w:rsid w:val="002E03B7"/>
    <w:rsid w:val="002E0643"/>
    <w:rsid w:val="002E1060"/>
    <w:rsid w:val="002E1C66"/>
    <w:rsid w:val="002E1C85"/>
    <w:rsid w:val="002E2812"/>
    <w:rsid w:val="002E2E57"/>
    <w:rsid w:val="002E3531"/>
    <w:rsid w:val="002E3E98"/>
    <w:rsid w:val="002E4690"/>
    <w:rsid w:val="002E4B7C"/>
    <w:rsid w:val="002E4FC2"/>
    <w:rsid w:val="002E54D5"/>
    <w:rsid w:val="002E5508"/>
    <w:rsid w:val="002E5686"/>
    <w:rsid w:val="002E57D1"/>
    <w:rsid w:val="002E5801"/>
    <w:rsid w:val="002E61FE"/>
    <w:rsid w:val="002E62D1"/>
    <w:rsid w:val="002E63D8"/>
    <w:rsid w:val="002E6615"/>
    <w:rsid w:val="002E6B62"/>
    <w:rsid w:val="002E6E1B"/>
    <w:rsid w:val="002E71AD"/>
    <w:rsid w:val="002E73A6"/>
    <w:rsid w:val="002E751D"/>
    <w:rsid w:val="002E776D"/>
    <w:rsid w:val="002E7938"/>
    <w:rsid w:val="002F01A7"/>
    <w:rsid w:val="002F0210"/>
    <w:rsid w:val="002F0249"/>
    <w:rsid w:val="002F024F"/>
    <w:rsid w:val="002F05AD"/>
    <w:rsid w:val="002F1CD7"/>
    <w:rsid w:val="002F200D"/>
    <w:rsid w:val="002F23A8"/>
    <w:rsid w:val="002F2801"/>
    <w:rsid w:val="002F29CB"/>
    <w:rsid w:val="002F29CD"/>
    <w:rsid w:val="002F2CF0"/>
    <w:rsid w:val="002F3559"/>
    <w:rsid w:val="002F3DE1"/>
    <w:rsid w:val="002F4DD3"/>
    <w:rsid w:val="002F4F2A"/>
    <w:rsid w:val="002F52B6"/>
    <w:rsid w:val="002F530F"/>
    <w:rsid w:val="002F5C75"/>
    <w:rsid w:val="002F60C1"/>
    <w:rsid w:val="002F6230"/>
    <w:rsid w:val="002F669E"/>
    <w:rsid w:val="002F66B4"/>
    <w:rsid w:val="002F69A3"/>
    <w:rsid w:val="00300BEC"/>
    <w:rsid w:val="003012A4"/>
    <w:rsid w:val="00301AA1"/>
    <w:rsid w:val="00301E91"/>
    <w:rsid w:val="00302164"/>
    <w:rsid w:val="00302447"/>
    <w:rsid w:val="00303354"/>
    <w:rsid w:val="0030376B"/>
    <w:rsid w:val="0030386E"/>
    <w:rsid w:val="00303BEE"/>
    <w:rsid w:val="003042F0"/>
    <w:rsid w:val="00304ABA"/>
    <w:rsid w:val="00305226"/>
    <w:rsid w:val="00305811"/>
    <w:rsid w:val="00306385"/>
    <w:rsid w:val="00306912"/>
    <w:rsid w:val="00306E39"/>
    <w:rsid w:val="00306F86"/>
    <w:rsid w:val="00307A77"/>
    <w:rsid w:val="00307CEF"/>
    <w:rsid w:val="00307F2E"/>
    <w:rsid w:val="003104CA"/>
    <w:rsid w:val="00310BF6"/>
    <w:rsid w:val="003114B6"/>
    <w:rsid w:val="00311527"/>
    <w:rsid w:val="00312429"/>
    <w:rsid w:val="003124D4"/>
    <w:rsid w:val="003126BE"/>
    <w:rsid w:val="00312CDB"/>
    <w:rsid w:val="00313FB2"/>
    <w:rsid w:val="003142ED"/>
    <w:rsid w:val="00314E88"/>
    <w:rsid w:val="00314F40"/>
    <w:rsid w:val="00315299"/>
    <w:rsid w:val="00315A8D"/>
    <w:rsid w:val="00315BB7"/>
    <w:rsid w:val="00316E13"/>
    <w:rsid w:val="003174AE"/>
    <w:rsid w:val="003177FE"/>
    <w:rsid w:val="00317D69"/>
    <w:rsid w:val="00317E2F"/>
    <w:rsid w:val="00320365"/>
    <w:rsid w:val="003209CF"/>
    <w:rsid w:val="00320D10"/>
    <w:rsid w:val="00320D9A"/>
    <w:rsid w:val="00320F0F"/>
    <w:rsid w:val="003218B2"/>
    <w:rsid w:val="0032227D"/>
    <w:rsid w:val="0032269B"/>
    <w:rsid w:val="00322D37"/>
    <w:rsid w:val="003240EE"/>
    <w:rsid w:val="003247B9"/>
    <w:rsid w:val="00325301"/>
    <w:rsid w:val="003257DC"/>
    <w:rsid w:val="00325CEF"/>
    <w:rsid w:val="00326B38"/>
    <w:rsid w:val="00327009"/>
    <w:rsid w:val="00330B1C"/>
    <w:rsid w:val="003312D1"/>
    <w:rsid w:val="00331EB2"/>
    <w:rsid w:val="00331EDE"/>
    <w:rsid w:val="00332483"/>
    <w:rsid w:val="00332EFC"/>
    <w:rsid w:val="0033331B"/>
    <w:rsid w:val="003333FC"/>
    <w:rsid w:val="00333825"/>
    <w:rsid w:val="0033485D"/>
    <w:rsid w:val="003349FD"/>
    <w:rsid w:val="003353BA"/>
    <w:rsid w:val="00335B2E"/>
    <w:rsid w:val="003366D1"/>
    <w:rsid w:val="003416C9"/>
    <w:rsid w:val="00341872"/>
    <w:rsid w:val="00343341"/>
    <w:rsid w:val="00343490"/>
    <w:rsid w:val="0034359F"/>
    <w:rsid w:val="00343D6D"/>
    <w:rsid w:val="00343ED6"/>
    <w:rsid w:val="00344337"/>
    <w:rsid w:val="00344F7B"/>
    <w:rsid w:val="0034594D"/>
    <w:rsid w:val="00345B6F"/>
    <w:rsid w:val="003460A7"/>
    <w:rsid w:val="0034680E"/>
    <w:rsid w:val="00346DF1"/>
    <w:rsid w:val="00346E88"/>
    <w:rsid w:val="00347340"/>
    <w:rsid w:val="00347F65"/>
    <w:rsid w:val="00350AAB"/>
    <w:rsid w:val="00350DD8"/>
    <w:rsid w:val="00350EE8"/>
    <w:rsid w:val="003514B5"/>
    <w:rsid w:val="00352503"/>
    <w:rsid w:val="0035429B"/>
    <w:rsid w:val="003543FD"/>
    <w:rsid w:val="00354471"/>
    <w:rsid w:val="003546BC"/>
    <w:rsid w:val="00354937"/>
    <w:rsid w:val="00354A53"/>
    <w:rsid w:val="0035531F"/>
    <w:rsid w:val="00355861"/>
    <w:rsid w:val="00356C15"/>
    <w:rsid w:val="00357822"/>
    <w:rsid w:val="0035797E"/>
    <w:rsid w:val="00360322"/>
    <w:rsid w:val="00360692"/>
    <w:rsid w:val="00360783"/>
    <w:rsid w:val="003611ED"/>
    <w:rsid w:val="00361C62"/>
    <w:rsid w:val="00361D7F"/>
    <w:rsid w:val="00362C9D"/>
    <w:rsid w:val="0036311D"/>
    <w:rsid w:val="003633DE"/>
    <w:rsid w:val="003634D1"/>
    <w:rsid w:val="00363A5B"/>
    <w:rsid w:val="00363E61"/>
    <w:rsid w:val="003641E5"/>
    <w:rsid w:val="003647EB"/>
    <w:rsid w:val="003657D8"/>
    <w:rsid w:val="00365B03"/>
    <w:rsid w:val="00365BBA"/>
    <w:rsid w:val="00365FB6"/>
    <w:rsid w:val="00366B27"/>
    <w:rsid w:val="00367BD9"/>
    <w:rsid w:val="00370187"/>
    <w:rsid w:val="003705C7"/>
    <w:rsid w:val="0037096C"/>
    <w:rsid w:val="003717E7"/>
    <w:rsid w:val="00372D8E"/>
    <w:rsid w:val="00373179"/>
    <w:rsid w:val="003731A8"/>
    <w:rsid w:val="00373596"/>
    <w:rsid w:val="00373B46"/>
    <w:rsid w:val="003743FA"/>
    <w:rsid w:val="0037480D"/>
    <w:rsid w:val="00375214"/>
    <w:rsid w:val="003759B5"/>
    <w:rsid w:val="00375F42"/>
    <w:rsid w:val="00375FFB"/>
    <w:rsid w:val="00376102"/>
    <w:rsid w:val="003762FB"/>
    <w:rsid w:val="00376310"/>
    <w:rsid w:val="00376D20"/>
    <w:rsid w:val="003775E0"/>
    <w:rsid w:val="0037793C"/>
    <w:rsid w:val="003779F4"/>
    <w:rsid w:val="00377A8C"/>
    <w:rsid w:val="00377E06"/>
    <w:rsid w:val="003800C9"/>
    <w:rsid w:val="00380186"/>
    <w:rsid w:val="003808C3"/>
    <w:rsid w:val="00381241"/>
    <w:rsid w:val="003817E3"/>
    <w:rsid w:val="00381CA3"/>
    <w:rsid w:val="003821F6"/>
    <w:rsid w:val="003825D7"/>
    <w:rsid w:val="00382BDE"/>
    <w:rsid w:val="00383CD4"/>
    <w:rsid w:val="003840CD"/>
    <w:rsid w:val="0038432E"/>
    <w:rsid w:val="00384901"/>
    <w:rsid w:val="003849CA"/>
    <w:rsid w:val="00384C00"/>
    <w:rsid w:val="00385685"/>
    <w:rsid w:val="0038783D"/>
    <w:rsid w:val="00387857"/>
    <w:rsid w:val="003906F6"/>
    <w:rsid w:val="00390B83"/>
    <w:rsid w:val="00390E6B"/>
    <w:rsid w:val="0039121F"/>
    <w:rsid w:val="003912CC"/>
    <w:rsid w:val="00391D40"/>
    <w:rsid w:val="00391EB0"/>
    <w:rsid w:val="00392BD5"/>
    <w:rsid w:val="00393521"/>
    <w:rsid w:val="00393850"/>
    <w:rsid w:val="003938CC"/>
    <w:rsid w:val="00393AB1"/>
    <w:rsid w:val="00393B0A"/>
    <w:rsid w:val="00394755"/>
    <w:rsid w:val="00394AE8"/>
    <w:rsid w:val="00394D0B"/>
    <w:rsid w:val="003956AD"/>
    <w:rsid w:val="0039605B"/>
    <w:rsid w:val="003970FA"/>
    <w:rsid w:val="00397526"/>
    <w:rsid w:val="003A04FB"/>
    <w:rsid w:val="003A06E0"/>
    <w:rsid w:val="003A1085"/>
    <w:rsid w:val="003A115F"/>
    <w:rsid w:val="003A16DE"/>
    <w:rsid w:val="003A1810"/>
    <w:rsid w:val="003A1C28"/>
    <w:rsid w:val="003A24EC"/>
    <w:rsid w:val="003A2B6F"/>
    <w:rsid w:val="003A3076"/>
    <w:rsid w:val="003A4795"/>
    <w:rsid w:val="003A5B7B"/>
    <w:rsid w:val="003A63AF"/>
    <w:rsid w:val="003A6737"/>
    <w:rsid w:val="003A7849"/>
    <w:rsid w:val="003A7BA6"/>
    <w:rsid w:val="003B010B"/>
    <w:rsid w:val="003B030F"/>
    <w:rsid w:val="003B05AF"/>
    <w:rsid w:val="003B0785"/>
    <w:rsid w:val="003B0DE1"/>
    <w:rsid w:val="003B1A6C"/>
    <w:rsid w:val="003B214C"/>
    <w:rsid w:val="003B327F"/>
    <w:rsid w:val="003B3D95"/>
    <w:rsid w:val="003B4474"/>
    <w:rsid w:val="003B4762"/>
    <w:rsid w:val="003B4A64"/>
    <w:rsid w:val="003B4C46"/>
    <w:rsid w:val="003B4E01"/>
    <w:rsid w:val="003B5114"/>
    <w:rsid w:val="003B5F55"/>
    <w:rsid w:val="003B6AE2"/>
    <w:rsid w:val="003B6FA8"/>
    <w:rsid w:val="003B7D61"/>
    <w:rsid w:val="003B7D89"/>
    <w:rsid w:val="003B7ECC"/>
    <w:rsid w:val="003C089B"/>
    <w:rsid w:val="003C12EB"/>
    <w:rsid w:val="003C18F4"/>
    <w:rsid w:val="003C1B45"/>
    <w:rsid w:val="003C2061"/>
    <w:rsid w:val="003C2075"/>
    <w:rsid w:val="003C2371"/>
    <w:rsid w:val="003C27FB"/>
    <w:rsid w:val="003C3B5E"/>
    <w:rsid w:val="003C3E39"/>
    <w:rsid w:val="003C4241"/>
    <w:rsid w:val="003C4981"/>
    <w:rsid w:val="003C49E7"/>
    <w:rsid w:val="003C5045"/>
    <w:rsid w:val="003C584B"/>
    <w:rsid w:val="003C5FBB"/>
    <w:rsid w:val="003C63CB"/>
    <w:rsid w:val="003C7056"/>
    <w:rsid w:val="003C75BB"/>
    <w:rsid w:val="003C7E45"/>
    <w:rsid w:val="003C7FF0"/>
    <w:rsid w:val="003D0610"/>
    <w:rsid w:val="003D0B91"/>
    <w:rsid w:val="003D0E27"/>
    <w:rsid w:val="003D1053"/>
    <w:rsid w:val="003D1A60"/>
    <w:rsid w:val="003D2501"/>
    <w:rsid w:val="003D2726"/>
    <w:rsid w:val="003D2CE7"/>
    <w:rsid w:val="003D2D26"/>
    <w:rsid w:val="003D2F4B"/>
    <w:rsid w:val="003D32A8"/>
    <w:rsid w:val="003D33CE"/>
    <w:rsid w:val="003D3DBB"/>
    <w:rsid w:val="003D3F28"/>
    <w:rsid w:val="003D41CC"/>
    <w:rsid w:val="003D4809"/>
    <w:rsid w:val="003D4A81"/>
    <w:rsid w:val="003D5746"/>
    <w:rsid w:val="003D5B1D"/>
    <w:rsid w:val="003D6032"/>
    <w:rsid w:val="003D6AD8"/>
    <w:rsid w:val="003D714A"/>
    <w:rsid w:val="003D719C"/>
    <w:rsid w:val="003E021B"/>
    <w:rsid w:val="003E07D3"/>
    <w:rsid w:val="003E0F59"/>
    <w:rsid w:val="003E101F"/>
    <w:rsid w:val="003E12F0"/>
    <w:rsid w:val="003E26B6"/>
    <w:rsid w:val="003E2F61"/>
    <w:rsid w:val="003E3AD8"/>
    <w:rsid w:val="003E4293"/>
    <w:rsid w:val="003E457D"/>
    <w:rsid w:val="003E4B75"/>
    <w:rsid w:val="003E55B4"/>
    <w:rsid w:val="003E56BE"/>
    <w:rsid w:val="003E5CF3"/>
    <w:rsid w:val="003E62AC"/>
    <w:rsid w:val="003E63F5"/>
    <w:rsid w:val="003E68A7"/>
    <w:rsid w:val="003E6ABF"/>
    <w:rsid w:val="003E6B1F"/>
    <w:rsid w:val="003E75F7"/>
    <w:rsid w:val="003E7880"/>
    <w:rsid w:val="003F0219"/>
    <w:rsid w:val="003F0459"/>
    <w:rsid w:val="003F08DE"/>
    <w:rsid w:val="003F0E09"/>
    <w:rsid w:val="003F18B1"/>
    <w:rsid w:val="003F1971"/>
    <w:rsid w:val="003F1DF6"/>
    <w:rsid w:val="003F1E48"/>
    <w:rsid w:val="003F3478"/>
    <w:rsid w:val="003F38CE"/>
    <w:rsid w:val="003F43BD"/>
    <w:rsid w:val="003F4A82"/>
    <w:rsid w:val="003F4F07"/>
    <w:rsid w:val="003F5329"/>
    <w:rsid w:val="003F5A0B"/>
    <w:rsid w:val="003F5D87"/>
    <w:rsid w:val="003F5F2C"/>
    <w:rsid w:val="003F6141"/>
    <w:rsid w:val="003F68DF"/>
    <w:rsid w:val="003F69F8"/>
    <w:rsid w:val="003F6DE1"/>
    <w:rsid w:val="003F770E"/>
    <w:rsid w:val="003F7E42"/>
    <w:rsid w:val="004006C1"/>
    <w:rsid w:val="00400A5A"/>
    <w:rsid w:val="00400CC8"/>
    <w:rsid w:val="004011BB"/>
    <w:rsid w:val="00401303"/>
    <w:rsid w:val="00401628"/>
    <w:rsid w:val="00401834"/>
    <w:rsid w:val="004018F3"/>
    <w:rsid w:val="00402139"/>
    <w:rsid w:val="00402171"/>
    <w:rsid w:val="0040234D"/>
    <w:rsid w:val="004029B3"/>
    <w:rsid w:val="00402B5D"/>
    <w:rsid w:val="0040417A"/>
    <w:rsid w:val="00404411"/>
    <w:rsid w:val="00405245"/>
    <w:rsid w:val="004055A5"/>
    <w:rsid w:val="004074CF"/>
    <w:rsid w:val="00407795"/>
    <w:rsid w:val="00407A51"/>
    <w:rsid w:val="00407E0C"/>
    <w:rsid w:val="00411767"/>
    <w:rsid w:val="00411975"/>
    <w:rsid w:val="00411AD3"/>
    <w:rsid w:val="00412086"/>
    <w:rsid w:val="00412885"/>
    <w:rsid w:val="00412E55"/>
    <w:rsid w:val="004130ED"/>
    <w:rsid w:val="004133C7"/>
    <w:rsid w:val="004142E8"/>
    <w:rsid w:val="00415447"/>
    <w:rsid w:val="00416ACF"/>
    <w:rsid w:val="00416BBE"/>
    <w:rsid w:val="00416D54"/>
    <w:rsid w:val="00416D93"/>
    <w:rsid w:val="00420553"/>
    <w:rsid w:val="00420AFC"/>
    <w:rsid w:val="00420E4F"/>
    <w:rsid w:val="004211C0"/>
    <w:rsid w:val="004214B4"/>
    <w:rsid w:val="004214E1"/>
    <w:rsid w:val="00422860"/>
    <w:rsid w:val="00422BBF"/>
    <w:rsid w:val="00422D2C"/>
    <w:rsid w:val="00423478"/>
    <w:rsid w:val="004239C1"/>
    <w:rsid w:val="00423AE3"/>
    <w:rsid w:val="00423DF1"/>
    <w:rsid w:val="00424559"/>
    <w:rsid w:val="00424A41"/>
    <w:rsid w:val="00425D7C"/>
    <w:rsid w:val="00425F92"/>
    <w:rsid w:val="0042600D"/>
    <w:rsid w:val="004260DC"/>
    <w:rsid w:val="00426208"/>
    <w:rsid w:val="004262F6"/>
    <w:rsid w:val="004269FF"/>
    <w:rsid w:val="00426E9E"/>
    <w:rsid w:val="004274A4"/>
    <w:rsid w:val="004275BB"/>
    <w:rsid w:val="004277D8"/>
    <w:rsid w:val="0042783E"/>
    <w:rsid w:val="00427BE6"/>
    <w:rsid w:val="004300AE"/>
    <w:rsid w:val="004300E1"/>
    <w:rsid w:val="004307E1"/>
    <w:rsid w:val="0043083E"/>
    <w:rsid w:val="004309DA"/>
    <w:rsid w:val="00430B57"/>
    <w:rsid w:val="00430FD9"/>
    <w:rsid w:val="00432403"/>
    <w:rsid w:val="00433D33"/>
    <w:rsid w:val="00434257"/>
    <w:rsid w:val="00434491"/>
    <w:rsid w:val="004344BF"/>
    <w:rsid w:val="00434550"/>
    <w:rsid w:val="004347AA"/>
    <w:rsid w:val="00435EAA"/>
    <w:rsid w:val="004362DA"/>
    <w:rsid w:val="00436AF3"/>
    <w:rsid w:val="00436B8F"/>
    <w:rsid w:val="00437B19"/>
    <w:rsid w:val="0044002B"/>
    <w:rsid w:val="00440658"/>
    <w:rsid w:val="004408E0"/>
    <w:rsid w:val="004410B7"/>
    <w:rsid w:val="00441187"/>
    <w:rsid w:val="00441277"/>
    <w:rsid w:val="00441877"/>
    <w:rsid w:val="004419E5"/>
    <w:rsid w:val="00441B39"/>
    <w:rsid w:val="00441D9D"/>
    <w:rsid w:val="00442079"/>
    <w:rsid w:val="004420A8"/>
    <w:rsid w:val="0044288D"/>
    <w:rsid w:val="00442A16"/>
    <w:rsid w:val="00442ABF"/>
    <w:rsid w:val="00442C8F"/>
    <w:rsid w:val="00443108"/>
    <w:rsid w:val="004432BD"/>
    <w:rsid w:val="0044375C"/>
    <w:rsid w:val="00443D12"/>
    <w:rsid w:val="0044440E"/>
    <w:rsid w:val="00444791"/>
    <w:rsid w:val="004448AA"/>
    <w:rsid w:val="00444BAC"/>
    <w:rsid w:val="00444FF5"/>
    <w:rsid w:val="00445A97"/>
    <w:rsid w:val="00445B40"/>
    <w:rsid w:val="004463D7"/>
    <w:rsid w:val="00447C8B"/>
    <w:rsid w:val="00447D8E"/>
    <w:rsid w:val="00447F2F"/>
    <w:rsid w:val="004506F8"/>
    <w:rsid w:val="00450F4C"/>
    <w:rsid w:val="0045168C"/>
    <w:rsid w:val="00451728"/>
    <w:rsid w:val="00451FA5"/>
    <w:rsid w:val="00452CDD"/>
    <w:rsid w:val="00453B86"/>
    <w:rsid w:val="004542CA"/>
    <w:rsid w:val="004552C8"/>
    <w:rsid w:val="00455DB7"/>
    <w:rsid w:val="00455ED0"/>
    <w:rsid w:val="004561AC"/>
    <w:rsid w:val="00456815"/>
    <w:rsid w:val="00456C66"/>
    <w:rsid w:val="00457C75"/>
    <w:rsid w:val="004602AA"/>
    <w:rsid w:val="00460DDD"/>
    <w:rsid w:val="00462102"/>
    <w:rsid w:val="0046267E"/>
    <w:rsid w:val="0046283C"/>
    <w:rsid w:val="00462A6E"/>
    <w:rsid w:val="00463225"/>
    <w:rsid w:val="0046424F"/>
    <w:rsid w:val="004644D1"/>
    <w:rsid w:val="00464B23"/>
    <w:rsid w:val="004652F6"/>
    <w:rsid w:val="0046591E"/>
    <w:rsid w:val="0046607C"/>
    <w:rsid w:val="00466A99"/>
    <w:rsid w:val="00466C7A"/>
    <w:rsid w:val="00467671"/>
    <w:rsid w:val="004676A9"/>
    <w:rsid w:val="0046790D"/>
    <w:rsid w:val="00467D2F"/>
    <w:rsid w:val="00467FC0"/>
    <w:rsid w:val="0047027B"/>
    <w:rsid w:val="004703F5"/>
    <w:rsid w:val="004704F3"/>
    <w:rsid w:val="00472096"/>
    <w:rsid w:val="0047253F"/>
    <w:rsid w:val="00472588"/>
    <w:rsid w:val="00472E64"/>
    <w:rsid w:val="00473C5B"/>
    <w:rsid w:val="00473DC8"/>
    <w:rsid w:val="00473FE6"/>
    <w:rsid w:val="00474BF6"/>
    <w:rsid w:val="0047543A"/>
    <w:rsid w:val="00475CBA"/>
    <w:rsid w:val="0047648F"/>
    <w:rsid w:val="004768D6"/>
    <w:rsid w:val="00476F52"/>
    <w:rsid w:val="004772DD"/>
    <w:rsid w:val="00477B8E"/>
    <w:rsid w:val="00477BED"/>
    <w:rsid w:val="004804E8"/>
    <w:rsid w:val="004818BB"/>
    <w:rsid w:val="004822A7"/>
    <w:rsid w:val="00482E6E"/>
    <w:rsid w:val="0048375F"/>
    <w:rsid w:val="00483B21"/>
    <w:rsid w:val="00483BB1"/>
    <w:rsid w:val="00483E6C"/>
    <w:rsid w:val="004840CD"/>
    <w:rsid w:val="00484119"/>
    <w:rsid w:val="0048596A"/>
    <w:rsid w:val="004866C8"/>
    <w:rsid w:val="00486D1B"/>
    <w:rsid w:val="00486D72"/>
    <w:rsid w:val="00486DDC"/>
    <w:rsid w:val="0048702C"/>
    <w:rsid w:val="00487108"/>
    <w:rsid w:val="004873C4"/>
    <w:rsid w:val="004878B4"/>
    <w:rsid w:val="00487DA9"/>
    <w:rsid w:val="00491245"/>
    <w:rsid w:val="004919C4"/>
    <w:rsid w:val="004922D7"/>
    <w:rsid w:val="00492B99"/>
    <w:rsid w:val="00492C4F"/>
    <w:rsid w:val="00493795"/>
    <w:rsid w:val="004939BF"/>
    <w:rsid w:val="004956A7"/>
    <w:rsid w:val="004959C8"/>
    <w:rsid w:val="004964C0"/>
    <w:rsid w:val="004967BF"/>
    <w:rsid w:val="00497C1A"/>
    <w:rsid w:val="004A0CC3"/>
    <w:rsid w:val="004A0F92"/>
    <w:rsid w:val="004A10FC"/>
    <w:rsid w:val="004A16E4"/>
    <w:rsid w:val="004A2AD5"/>
    <w:rsid w:val="004A3764"/>
    <w:rsid w:val="004A3D10"/>
    <w:rsid w:val="004A3E35"/>
    <w:rsid w:val="004A42FF"/>
    <w:rsid w:val="004A43EA"/>
    <w:rsid w:val="004A45A5"/>
    <w:rsid w:val="004A4F96"/>
    <w:rsid w:val="004A547B"/>
    <w:rsid w:val="004A5596"/>
    <w:rsid w:val="004A5B87"/>
    <w:rsid w:val="004A5FE6"/>
    <w:rsid w:val="004A61DF"/>
    <w:rsid w:val="004A6279"/>
    <w:rsid w:val="004A6840"/>
    <w:rsid w:val="004A69B9"/>
    <w:rsid w:val="004A6A30"/>
    <w:rsid w:val="004A71AE"/>
    <w:rsid w:val="004A7892"/>
    <w:rsid w:val="004A7AC8"/>
    <w:rsid w:val="004B22BF"/>
    <w:rsid w:val="004B246B"/>
    <w:rsid w:val="004B26FC"/>
    <w:rsid w:val="004B37E0"/>
    <w:rsid w:val="004B3C33"/>
    <w:rsid w:val="004B4525"/>
    <w:rsid w:val="004B4570"/>
    <w:rsid w:val="004B4C17"/>
    <w:rsid w:val="004B4F29"/>
    <w:rsid w:val="004B5101"/>
    <w:rsid w:val="004B5FCC"/>
    <w:rsid w:val="004B6DAF"/>
    <w:rsid w:val="004B6FEC"/>
    <w:rsid w:val="004B7654"/>
    <w:rsid w:val="004B7BF4"/>
    <w:rsid w:val="004B7D79"/>
    <w:rsid w:val="004C0187"/>
    <w:rsid w:val="004C0DD1"/>
    <w:rsid w:val="004C1826"/>
    <w:rsid w:val="004C183E"/>
    <w:rsid w:val="004C19CF"/>
    <w:rsid w:val="004C232C"/>
    <w:rsid w:val="004C3917"/>
    <w:rsid w:val="004C3B9D"/>
    <w:rsid w:val="004C4B6B"/>
    <w:rsid w:val="004C4C8E"/>
    <w:rsid w:val="004C4FB3"/>
    <w:rsid w:val="004C574D"/>
    <w:rsid w:val="004C5D35"/>
    <w:rsid w:val="004C5D7E"/>
    <w:rsid w:val="004C6C14"/>
    <w:rsid w:val="004C75AA"/>
    <w:rsid w:val="004C7991"/>
    <w:rsid w:val="004C7B64"/>
    <w:rsid w:val="004C7BE7"/>
    <w:rsid w:val="004C7FBB"/>
    <w:rsid w:val="004D02A6"/>
    <w:rsid w:val="004D1C79"/>
    <w:rsid w:val="004D2BD8"/>
    <w:rsid w:val="004D3441"/>
    <w:rsid w:val="004D3D81"/>
    <w:rsid w:val="004D3F5A"/>
    <w:rsid w:val="004D49C0"/>
    <w:rsid w:val="004D577C"/>
    <w:rsid w:val="004D585F"/>
    <w:rsid w:val="004D5BEA"/>
    <w:rsid w:val="004D5EAB"/>
    <w:rsid w:val="004D6D93"/>
    <w:rsid w:val="004D7021"/>
    <w:rsid w:val="004E05C0"/>
    <w:rsid w:val="004E095D"/>
    <w:rsid w:val="004E0A9E"/>
    <w:rsid w:val="004E0FD6"/>
    <w:rsid w:val="004E183F"/>
    <w:rsid w:val="004E19A2"/>
    <w:rsid w:val="004E2CA2"/>
    <w:rsid w:val="004E33C9"/>
    <w:rsid w:val="004E378A"/>
    <w:rsid w:val="004E3C62"/>
    <w:rsid w:val="004E3DEF"/>
    <w:rsid w:val="004E44F5"/>
    <w:rsid w:val="004E53AF"/>
    <w:rsid w:val="004E6216"/>
    <w:rsid w:val="004E62E7"/>
    <w:rsid w:val="004F0D63"/>
    <w:rsid w:val="004F17FE"/>
    <w:rsid w:val="004F2632"/>
    <w:rsid w:val="004F2AF3"/>
    <w:rsid w:val="004F2C8B"/>
    <w:rsid w:val="004F330D"/>
    <w:rsid w:val="004F3A9D"/>
    <w:rsid w:val="004F3D2A"/>
    <w:rsid w:val="004F421D"/>
    <w:rsid w:val="004F471E"/>
    <w:rsid w:val="004F5004"/>
    <w:rsid w:val="004F5A39"/>
    <w:rsid w:val="004F6AAF"/>
    <w:rsid w:val="004F6CE8"/>
    <w:rsid w:val="004F6D00"/>
    <w:rsid w:val="004F792F"/>
    <w:rsid w:val="004F7FF5"/>
    <w:rsid w:val="00500551"/>
    <w:rsid w:val="00500A8A"/>
    <w:rsid w:val="00500AFB"/>
    <w:rsid w:val="00501735"/>
    <w:rsid w:val="00502608"/>
    <w:rsid w:val="0050349E"/>
    <w:rsid w:val="00503C9E"/>
    <w:rsid w:val="00503E38"/>
    <w:rsid w:val="00504411"/>
    <w:rsid w:val="00504F80"/>
    <w:rsid w:val="00505389"/>
    <w:rsid w:val="00505944"/>
    <w:rsid w:val="00505C1D"/>
    <w:rsid w:val="00505FC8"/>
    <w:rsid w:val="00506412"/>
    <w:rsid w:val="005065FE"/>
    <w:rsid w:val="00511B46"/>
    <w:rsid w:val="00513189"/>
    <w:rsid w:val="005132DC"/>
    <w:rsid w:val="0051375F"/>
    <w:rsid w:val="005137F4"/>
    <w:rsid w:val="00513FFC"/>
    <w:rsid w:val="005140E4"/>
    <w:rsid w:val="00514164"/>
    <w:rsid w:val="0051430D"/>
    <w:rsid w:val="0051439C"/>
    <w:rsid w:val="00514ABA"/>
    <w:rsid w:val="00514BFB"/>
    <w:rsid w:val="00515E77"/>
    <w:rsid w:val="00517F5F"/>
    <w:rsid w:val="00520267"/>
    <w:rsid w:val="0052098C"/>
    <w:rsid w:val="00520B38"/>
    <w:rsid w:val="005215C2"/>
    <w:rsid w:val="00521BDF"/>
    <w:rsid w:val="00522D16"/>
    <w:rsid w:val="00523032"/>
    <w:rsid w:val="0052338D"/>
    <w:rsid w:val="0052377B"/>
    <w:rsid w:val="00523B0D"/>
    <w:rsid w:val="005244D7"/>
    <w:rsid w:val="00524DCC"/>
    <w:rsid w:val="0052569C"/>
    <w:rsid w:val="005256D0"/>
    <w:rsid w:val="005259EE"/>
    <w:rsid w:val="00525E1B"/>
    <w:rsid w:val="00526066"/>
    <w:rsid w:val="005274DD"/>
    <w:rsid w:val="005279E5"/>
    <w:rsid w:val="00527D31"/>
    <w:rsid w:val="00527F6B"/>
    <w:rsid w:val="00530432"/>
    <w:rsid w:val="00530715"/>
    <w:rsid w:val="00530A90"/>
    <w:rsid w:val="00530B61"/>
    <w:rsid w:val="0053141C"/>
    <w:rsid w:val="00531F6C"/>
    <w:rsid w:val="005323C4"/>
    <w:rsid w:val="005323DA"/>
    <w:rsid w:val="005324A1"/>
    <w:rsid w:val="005324A6"/>
    <w:rsid w:val="005326AC"/>
    <w:rsid w:val="00533220"/>
    <w:rsid w:val="00533348"/>
    <w:rsid w:val="00533807"/>
    <w:rsid w:val="00533CF0"/>
    <w:rsid w:val="005344CA"/>
    <w:rsid w:val="005355FA"/>
    <w:rsid w:val="00535C3E"/>
    <w:rsid w:val="00535E99"/>
    <w:rsid w:val="005361DB"/>
    <w:rsid w:val="005364C9"/>
    <w:rsid w:val="00536841"/>
    <w:rsid w:val="00536B6E"/>
    <w:rsid w:val="00536C1C"/>
    <w:rsid w:val="0053794A"/>
    <w:rsid w:val="00537E62"/>
    <w:rsid w:val="00540058"/>
    <w:rsid w:val="0054093A"/>
    <w:rsid w:val="00541A01"/>
    <w:rsid w:val="00541B4A"/>
    <w:rsid w:val="005426A7"/>
    <w:rsid w:val="005426F3"/>
    <w:rsid w:val="00543B67"/>
    <w:rsid w:val="00543B90"/>
    <w:rsid w:val="005443C3"/>
    <w:rsid w:val="0054465A"/>
    <w:rsid w:val="00546303"/>
    <w:rsid w:val="0054647B"/>
    <w:rsid w:val="005464F8"/>
    <w:rsid w:val="0054672F"/>
    <w:rsid w:val="00546893"/>
    <w:rsid w:val="00546E0D"/>
    <w:rsid w:val="00547E9C"/>
    <w:rsid w:val="00550581"/>
    <w:rsid w:val="005509C1"/>
    <w:rsid w:val="00550D81"/>
    <w:rsid w:val="005514A9"/>
    <w:rsid w:val="005519B9"/>
    <w:rsid w:val="00551CAD"/>
    <w:rsid w:val="005523E1"/>
    <w:rsid w:val="0055251F"/>
    <w:rsid w:val="00552B5E"/>
    <w:rsid w:val="00552F66"/>
    <w:rsid w:val="005534A9"/>
    <w:rsid w:val="0055355F"/>
    <w:rsid w:val="005539C1"/>
    <w:rsid w:val="00553BC6"/>
    <w:rsid w:val="00553C6B"/>
    <w:rsid w:val="00553DB6"/>
    <w:rsid w:val="00553E04"/>
    <w:rsid w:val="00553E71"/>
    <w:rsid w:val="0055449C"/>
    <w:rsid w:val="005549DA"/>
    <w:rsid w:val="00554FCC"/>
    <w:rsid w:val="00555089"/>
    <w:rsid w:val="00555389"/>
    <w:rsid w:val="005556A6"/>
    <w:rsid w:val="00555B59"/>
    <w:rsid w:val="00555FEF"/>
    <w:rsid w:val="00556948"/>
    <w:rsid w:val="00556CA5"/>
    <w:rsid w:val="0055789F"/>
    <w:rsid w:val="00557BFF"/>
    <w:rsid w:val="00560095"/>
    <w:rsid w:val="0056035A"/>
    <w:rsid w:val="00560BA0"/>
    <w:rsid w:val="00560C62"/>
    <w:rsid w:val="005636A1"/>
    <w:rsid w:val="005639C3"/>
    <w:rsid w:val="00563AEF"/>
    <w:rsid w:val="00563BCD"/>
    <w:rsid w:val="00564466"/>
    <w:rsid w:val="00564479"/>
    <w:rsid w:val="005644D7"/>
    <w:rsid w:val="00564B81"/>
    <w:rsid w:val="00564BA9"/>
    <w:rsid w:val="00564D07"/>
    <w:rsid w:val="0056530B"/>
    <w:rsid w:val="0056574E"/>
    <w:rsid w:val="00565B12"/>
    <w:rsid w:val="00565F7E"/>
    <w:rsid w:val="0056634B"/>
    <w:rsid w:val="00566475"/>
    <w:rsid w:val="005668E1"/>
    <w:rsid w:val="00566A13"/>
    <w:rsid w:val="00566BFE"/>
    <w:rsid w:val="005676FC"/>
    <w:rsid w:val="00567CE3"/>
    <w:rsid w:val="00571139"/>
    <w:rsid w:val="00571627"/>
    <w:rsid w:val="00571808"/>
    <w:rsid w:val="00571DCB"/>
    <w:rsid w:val="0057206D"/>
    <w:rsid w:val="00572636"/>
    <w:rsid w:val="005729BD"/>
    <w:rsid w:val="00572AF6"/>
    <w:rsid w:val="00573117"/>
    <w:rsid w:val="00573463"/>
    <w:rsid w:val="00574383"/>
    <w:rsid w:val="00574884"/>
    <w:rsid w:val="00575576"/>
    <w:rsid w:val="00575582"/>
    <w:rsid w:val="005756D0"/>
    <w:rsid w:val="0057598B"/>
    <w:rsid w:val="00576A0E"/>
    <w:rsid w:val="0057740F"/>
    <w:rsid w:val="00577559"/>
    <w:rsid w:val="005777B2"/>
    <w:rsid w:val="005777F2"/>
    <w:rsid w:val="00577F34"/>
    <w:rsid w:val="00577F7D"/>
    <w:rsid w:val="00577F82"/>
    <w:rsid w:val="00577FF8"/>
    <w:rsid w:val="005800E7"/>
    <w:rsid w:val="00580E82"/>
    <w:rsid w:val="005823AD"/>
    <w:rsid w:val="005834EF"/>
    <w:rsid w:val="00584795"/>
    <w:rsid w:val="00584C08"/>
    <w:rsid w:val="00585598"/>
    <w:rsid w:val="005856A2"/>
    <w:rsid w:val="00585D79"/>
    <w:rsid w:val="00585F7A"/>
    <w:rsid w:val="00585FE0"/>
    <w:rsid w:val="00586916"/>
    <w:rsid w:val="005869E1"/>
    <w:rsid w:val="005871EE"/>
    <w:rsid w:val="0058792C"/>
    <w:rsid w:val="00587CBA"/>
    <w:rsid w:val="00591C4B"/>
    <w:rsid w:val="0059259F"/>
    <w:rsid w:val="005925D9"/>
    <w:rsid w:val="005925F0"/>
    <w:rsid w:val="00593208"/>
    <w:rsid w:val="00593270"/>
    <w:rsid w:val="00593353"/>
    <w:rsid w:val="00593826"/>
    <w:rsid w:val="0059394F"/>
    <w:rsid w:val="00593BC8"/>
    <w:rsid w:val="00593D66"/>
    <w:rsid w:val="00593DEE"/>
    <w:rsid w:val="00593F8D"/>
    <w:rsid w:val="00594563"/>
    <w:rsid w:val="005946F1"/>
    <w:rsid w:val="00594AC8"/>
    <w:rsid w:val="00596348"/>
    <w:rsid w:val="005965A0"/>
    <w:rsid w:val="005966A7"/>
    <w:rsid w:val="00596DD0"/>
    <w:rsid w:val="00596EEE"/>
    <w:rsid w:val="00596FF0"/>
    <w:rsid w:val="00597728"/>
    <w:rsid w:val="00597C5B"/>
    <w:rsid w:val="005A053D"/>
    <w:rsid w:val="005A058D"/>
    <w:rsid w:val="005A0D32"/>
    <w:rsid w:val="005A1466"/>
    <w:rsid w:val="005A170C"/>
    <w:rsid w:val="005A19AC"/>
    <w:rsid w:val="005A1DB8"/>
    <w:rsid w:val="005A2868"/>
    <w:rsid w:val="005A3240"/>
    <w:rsid w:val="005A3409"/>
    <w:rsid w:val="005A427A"/>
    <w:rsid w:val="005A498F"/>
    <w:rsid w:val="005A55F0"/>
    <w:rsid w:val="005A5C34"/>
    <w:rsid w:val="005A5CDA"/>
    <w:rsid w:val="005A5E04"/>
    <w:rsid w:val="005A601D"/>
    <w:rsid w:val="005A6142"/>
    <w:rsid w:val="005A644B"/>
    <w:rsid w:val="005A6783"/>
    <w:rsid w:val="005A6D68"/>
    <w:rsid w:val="005A6F63"/>
    <w:rsid w:val="005A7432"/>
    <w:rsid w:val="005A74A7"/>
    <w:rsid w:val="005A763F"/>
    <w:rsid w:val="005A7A58"/>
    <w:rsid w:val="005B028C"/>
    <w:rsid w:val="005B0561"/>
    <w:rsid w:val="005B0614"/>
    <w:rsid w:val="005B272B"/>
    <w:rsid w:val="005B2BC4"/>
    <w:rsid w:val="005B2C73"/>
    <w:rsid w:val="005B32E4"/>
    <w:rsid w:val="005B36C9"/>
    <w:rsid w:val="005B375B"/>
    <w:rsid w:val="005B39DD"/>
    <w:rsid w:val="005B3B66"/>
    <w:rsid w:val="005B4D23"/>
    <w:rsid w:val="005B4D36"/>
    <w:rsid w:val="005B5731"/>
    <w:rsid w:val="005B678D"/>
    <w:rsid w:val="005B687D"/>
    <w:rsid w:val="005B6E80"/>
    <w:rsid w:val="005C00D8"/>
    <w:rsid w:val="005C0DA7"/>
    <w:rsid w:val="005C121F"/>
    <w:rsid w:val="005C1D1D"/>
    <w:rsid w:val="005C235B"/>
    <w:rsid w:val="005C2C7C"/>
    <w:rsid w:val="005C3726"/>
    <w:rsid w:val="005C436D"/>
    <w:rsid w:val="005C43E5"/>
    <w:rsid w:val="005C4484"/>
    <w:rsid w:val="005C44AD"/>
    <w:rsid w:val="005C5EB7"/>
    <w:rsid w:val="005C60FA"/>
    <w:rsid w:val="005C6C11"/>
    <w:rsid w:val="005C6D37"/>
    <w:rsid w:val="005C7604"/>
    <w:rsid w:val="005C7EF1"/>
    <w:rsid w:val="005D0131"/>
    <w:rsid w:val="005D047A"/>
    <w:rsid w:val="005D090D"/>
    <w:rsid w:val="005D0943"/>
    <w:rsid w:val="005D0B7C"/>
    <w:rsid w:val="005D0F37"/>
    <w:rsid w:val="005D195D"/>
    <w:rsid w:val="005D2357"/>
    <w:rsid w:val="005D26AE"/>
    <w:rsid w:val="005D2CD4"/>
    <w:rsid w:val="005D3611"/>
    <w:rsid w:val="005D410F"/>
    <w:rsid w:val="005D4549"/>
    <w:rsid w:val="005D4634"/>
    <w:rsid w:val="005D4A7F"/>
    <w:rsid w:val="005D5FFC"/>
    <w:rsid w:val="005D60F4"/>
    <w:rsid w:val="005D652D"/>
    <w:rsid w:val="005D65E7"/>
    <w:rsid w:val="005D6604"/>
    <w:rsid w:val="005D6B7F"/>
    <w:rsid w:val="005D6CC6"/>
    <w:rsid w:val="005D7287"/>
    <w:rsid w:val="005D7EC2"/>
    <w:rsid w:val="005E0119"/>
    <w:rsid w:val="005E099D"/>
    <w:rsid w:val="005E0A39"/>
    <w:rsid w:val="005E0F3C"/>
    <w:rsid w:val="005E1085"/>
    <w:rsid w:val="005E203C"/>
    <w:rsid w:val="005E222C"/>
    <w:rsid w:val="005E2A22"/>
    <w:rsid w:val="005E3839"/>
    <w:rsid w:val="005E3CD1"/>
    <w:rsid w:val="005E423E"/>
    <w:rsid w:val="005E42E7"/>
    <w:rsid w:val="005E4859"/>
    <w:rsid w:val="005E555D"/>
    <w:rsid w:val="005E5918"/>
    <w:rsid w:val="005E5B3B"/>
    <w:rsid w:val="005E5CCA"/>
    <w:rsid w:val="005E639A"/>
    <w:rsid w:val="005E6B3A"/>
    <w:rsid w:val="005E6C48"/>
    <w:rsid w:val="005E7782"/>
    <w:rsid w:val="005F0948"/>
    <w:rsid w:val="005F097E"/>
    <w:rsid w:val="005F11CB"/>
    <w:rsid w:val="005F1D76"/>
    <w:rsid w:val="005F1D9C"/>
    <w:rsid w:val="005F1F99"/>
    <w:rsid w:val="005F2815"/>
    <w:rsid w:val="005F2E3E"/>
    <w:rsid w:val="005F30D8"/>
    <w:rsid w:val="005F325E"/>
    <w:rsid w:val="005F3DB2"/>
    <w:rsid w:val="005F4CA3"/>
    <w:rsid w:val="005F5119"/>
    <w:rsid w:val="005F62DE"/>
    <w:rsid w:val="005F6638"/>
    <w:rsid w:val="005F6A99"/>
    <w:rsid w:val="005F71F5"/>
    <w:rsid w:val="005F7513"/>
    <w:rsid w:val="005F77D4"/>
    <w:rsid w:val="0060108E"/>
    <w:rsid w:val="00602A55"/>
    <w:rsid w:val="00602B42"/>
    <w:rsid w:val="00602E6E"/>
    <w:rsid w:val="00602F16"/>
    <w:rsid w:val="0060321C"/>
    <w:rsid w:val="00603562"/>
    <w:rsid w:val="00605476"/>
    <w:rsid w:val="006057CF"/>
    <w:rsid w:val="006059BC"/>
    <w:rsid w:val="0060654F"/>
    <w:rsid w:val="00606C4C"/>
    <w:rsid w:val="00606FBC"/>
    <w:rsid w:val="00607AF6"/>
    <w:rsid w:val="00607DB0"/>
    <w:rsid w:val="00610D3D"/>
    <w:rsid w:val="006110F7"/>
    <w:rsid w:val="006116FD"/>
    <w:rsid w:val="00611CBD"/>
    <w:rsid w:val="00611DB1"/>
    <w:rsid w:val="00611F36"/>
    <w:rsid w:val="006125CC"/>
    <w:rsid w:val="006126B0"/>
    <w:rsid w:val="00612B9F"/>
    <w:rsid w:val="00613088"/>
    <w:rsid w:val="00613719"/>
    <w:rsid w:val="00613A65"/>
    <w:rsid w:val="00614839"/>
    <w:rsid w:val="00614C84"/>
    <w:rsid w:val="00615DA8"/>
    <w:rsid w:val="0061679E"/>
    <w:rsid w:val="0061683E"/>
    <w:rsid w:val="00616933"/>
    <w:rsid w:val="00616FE2"/>
    <w:rsid w:val="00617028"/>
    <w:rsid w:val="00617111"/>
    <w:rsid w:val="006173D4"/>
    <w:rsid w:val="006203CF"/>
    <w:rsid w:val="006207A8"/>
    <w:rsid w:val="006207BF"/>
    <w:rsid w:val="00620885"/>
    <w:rsid w:val="00621829"/>
    <w:rsid w:val="00621BC9"/>
    <w:rsid w:val="00621F6F"/>
    <w:rsid w:val="00621FD1"/>
    <w:rsid w:val="00622AB8"/>
    <w:rsid w:val="00622E53"/>
    <w:rsid w:val="00623902"/>
    <w:rsid w:val="006243F0"/>
    <w:rsid w:val="0062451D"/>
    <w:rsid w:val="00624FB7"/>
    <w:rsid w:val="00625261"/>
    <w:rsid w:val="00625A65"/>
    <w:rsid w:val="00626E67"/>
    <w:rsid w:val="0062760D"/>
    <w:rsid w:val="0062762F"/>
    <w:rsid w:val="0063093E"/>
    <w:rsid w:val="006312E3"/>
    <w:rsid w:val="00632083"/>
    <w:rsid w:val="006321BC"/>
    <w:rsid w:val="00632243"/>
    <w:rsid w:val="006326CC"/>
    <w:rsid w:val="006326E2"/>
    <w:rsid w:val="00632B59"/>
    <w:rsid w:val="006331D0"/>
    <w:rsid w:val="0063382D"/>
    <w:rsid w:val="00633BD4"/>
    <w:rsid w:val="00634A60"/>
    <w:rsid w:val="00634CDC"/>
    <w:rsid w:val="006357DD"/>
    <w:rsid w:val="00635851"/>
    <w:rsid w:val="0063612D"/>
    <w:rsid w:val="00636606"/>
    <w:rsid w:val="00636E05"/>
    <w:rsid w:val="00637AE3"/>
    <w:rsid w:val="00637EEB"/>
    <w:rsid w:val="00640190"/>
    <w:rsid w:val="006402B5"/>
    <w:rsid w:val="00640316"/>
    <w:rsid w:val="00640452"/>
    <w:rsid w:val="00640973"/>
    <w:rsid w:val="0064167A"/>
    <w:rsid w:val="00641F95"/>
    <w:rsid w:val="00641FAC"/>
    <w:rsid w:val="00641FAE"/>
    <w:rsid w:val="00641FF0"/>
    <w:rsid w:val="00642F5F"/>
    <w:rsid w:val="0064319E"/>
    <w:rsid w:val="00643200"/>
    <w:rsid w:val="006439BA"/>
    <w:rsid w:val="00643D1D"/>
    <w:rsid w:val="00643F9F"/>
    <w:rsid w:val="00644ED4"/>
    <w:rsid w:val="00644F50"/>
    <w:rsid w:val="00644FE0"/>
    <w:rsid w:val="00645126"/>
    <w:rsid w:val="006453E0"/>
    <w:rsid w:val="00645B18"/>
    <w:rsid w:val="006462B0"/>
    <w:rsid w:val="00647230"/>
    <w:rsid w:val="006472D1"/>
    <w:rsid w:val="0064788E"/>
    <w:rsid w:val="006478E4"/>
    <w:rsid w:val="00647C48"/>
    <w:rsid w:val="00647F69"/>
    <w:rsid w:val="00650123"/>
    <w:rsid w:val="00652596"/>
    <w:rsid w:val="006528DA"/>
    <w:rsid w:val="00652B42"/>
    <w:rsid w:val="00652C8D"/>
    <w:rsid w:val="00652C95"/>
    <w:rsid w:val="00652ED7"/>
    <w:rsid w:val="006533DC"/>
    <w:rsid w:val="00653D82"/>
    <w:rsid w:val="006541D3"/>
    <w:rsid w:val="00654443"/>
    <w:rsid w:val="006545E8"/>
    <w:rsid w:val="00654B06"/>
    <w:rsid w:val="00654D21"/>
    <w:rsid w:val="00655522"/>
    <w:rsid w:val="00655C72"/>
    <w:rsid w:val="006562B1"/>
    <w:rsid w:val="00656998"/>
    <w:rsid w:val="00656B5C"/>
    <w:rsid w:val="00656D66"/>
    <w:rsid w:val="00656F05"/>
    <w:rsid w:val="00660315"/>
    <w:rsid w:val="00660518"/>
    <w:rsid w:val="006608E6"/>
    <w:rsid w:val="00660DC6"/>
    <w:rsid w:val="006610FD"/>
    <w:rsid w:val="00661155"/>
    <w:rsid w:val="006611A0"/>
    <w:rsid w:val="00661B41"/>
    <w:rsid w:val="006621A3"/>
    <w:rsid w:val="006624A4"/>
    <w:rsid w:val="00662F7F"/>
    <w:rsid w:val="00662FE3"/>
    <w:rsid w:val="00663036"/>
    <w:rsid w:val="0066310B"/>
    <w:rsid w:val="00663689"/>
    <w:rsid w:val="00663F21"/>
    <w:rsid w:val="00664004"/>
    <w:rsid w:val="00664822"/>
    <w:rsid w:val="00665EE9"/>
    <w:rsid w:val="00666256"/>
    <w:rsid w:val="0066635D"/>
    <w:rsid w:val="00666981"/>
    <w:rsid w:val="00666B32"/>
    <w:rsid w:val="00666C3F"/>
    <w:rsid w:val="0066726B"/>
    <w:rsid w:val="006673C4"/>
    <w:rsid w:val="00667425"/>
    <w:rsid w:val="00667B9C"/>
    <w:rsid w:val="006712A1"/>
    <w:rsid w:val="006715B5"/>
    <w:rsid w:val="00671705"/>
    <w:rsid w:val="00671C0B"/>
    <w:rsid w:val="00672FD2"/>
    <w:rsid w:val="006741A7"/>
    <w:rsid w:val="006744B9"/>
    <w:rsid w:val="00675228"/>
    <w:rsid w:val="006753E8"/>
    <w:rsid w:val="006754F3"/>
    <w:rsid w:val="006756D2"/>
    <w:rsid w:val="00675DBB"/>
    <w:rsid w:val="00675E04"/>
    <w:rsid w:val="006765AB"/>
    <w:rsid w:val="006765D9"/>
    <w:rsid w:val="00676DE9"/>
    <w:rsid w:val="00677031"/>
    <w:rsid w:val="00677558"/>
    <w:rsid w:val="00677F37"/>
    <w:rsid w:val="0068036B"/>
    <w:rsid w:val="00680828"/>
    <w:rsid w:val="006808BA"/>
    <w:rsid w:val="0068094F"/>
    <w:rsid w:val="00680B4D"/>
    <w:rsid w:val="00680EEC"/>
    <w:rsid w:val="006817E7"/>
    <w:rsid w:val="00681D78"/>
    <w:rsid w:val="00682508"/>
    <w:rsid w:val="006825A4"/>
    <w:rsid w:val="0068260F"/>
    <w:rsid w:val="006833D6"/>
    <w:rsid w:val="0068392C"/>
    <w:rsid w:val="00683E2C"/>
    <w:rsid w:val="00683F28"/>
    <w:rsid w:val="00684AEB"/>
    <w:rsid w:val="0068603D"/>
    <w:rsid w:val="0068618A"/>
    <w:rsid w:val="0068652E"/>
    <w:rsid w:val="00686554"/>
    <w:rsid w:val="0068663F"/>
    <w:rsid w:val="006872D6"/>
    <w:rsid w:val="006874FB"/>
    <w:rsid w:val="00690157"/>
    <w:rsid w:val="006903BC"/>
    <w:rsid w:val="00691242"/>
    <w:rsid w:val="0069194C"/>
    <w:rsid w:val="006919E8"/>
    <w:rsid w:val="00691B57"/>
    <w:rsid w:val="00691DB4"/>
    <w:rsid w:val="006925C9"/>
    <w:rsid w:val="00693608"/>
    <w:rsid w:val="00693B18"/>
    <w:rsid w:val="00693B84"/>
    <w:rsid w:val="00693D49"/>
    <w:rsid w:val="0069480C"/>
    <w:rsid w:val="006948B6"/>
    <w:rsid w:val="006950A9"/>
    <w:rsid w:val="00695341"/>
    <w:rsid w:val="006958EE"/>
    <w:rsid w:val="00695C45"/>
    <w:rsid w:val="00695ECA"/>
    <w:rsid w:val="00696237"/>
    <w:rsid w:val="00696A0A"/>
    <w:rsid w:val="00697285"/>
    <w:rsid w:val="006978AB"/>
    <w:rsid w:val="006A03A2"/>
    <w:rsid w:val="006A13D2"/>
    <w:rsid w:val="006A1E8E"/>
    <w:rsid w:val="006A1FDE"/>
    <w:rsid w:val="006A2338"/>
    <w:rsid w:val="006A2B89"/>
    <w:rsid w:val="006A2CD2"/>
    <w:rsid w:val="006A382A"/>
    <w:rsid w:val="006A3C8B"/>
    <w:rsid w:val="006A3EA0"/>
    <w:rsid w:val="006A499D"/>
    <w:rsid w:val="006A5CAF"/>
    <w:rsid w:val="006A6862"/>
    <w:rsid w:val="006A694C"/>
    <w:rsid w:val="006A6FDD"/>
    <w:rsid w:val="006A72D7"/>
    <w:rsid w:val="006A74CE"/>
    <w:rsid w:val="006A75DE"/>
    <w:rsid w:val="006A7681"/>
    <w:rsid w:val="006A76DC"/>
    <w:rsid w:val="006A7F20"/>
    <w:rsid w:val="006B0156"/>
    <w:rsid w:val="006B0170"/>
    <w:rsid w:val="006B1B49"/>
    <w:rsid w:val="006B1BD3"/>
    <w:rsid w:val="006B1C8D"/>
    <w:rsid w:val="006B1E58"/>
    <w:rsid w:val="006B2783"/>
    <w:rsid w:val="006B27FC"/>
    <w:rsid w:val="006B2F30"/>
    <w:rsid w:val="006B32DB"/>
    <w:rsid w:val="006B3417"/>
    <w:rsid w:val="006B3EA6"/>
    <w:rsid w:val="006B42BA"/>
    <w:rsid w:val="006B44D0"/>
    <w:rsid w:val="006B4A4B"/>
    <w:rsid w:val="006B4B37"/>
    <w:rsid w:val="006B54A3"/>
    <w:rsid w:val="006B715F"/>
    <w:rsid w:val="006B729E"/>
    <w:rsid w:val="006B7399"/>
    <w:rsid w:val="006B75FC"/>
    <w:rsid w:val="006B7A03"/>
    <w:rsid w:val="006B7C2C"/>
    <w:rsid w:val="006C0B19"/>
    <w:rsid w:val="006C0C36"/>
    <w:rsid w:val="006C12EE"/>
    <w:rsid w:val="006C147F"/>
    <w:rsid w:val="006C22E7"/>
    <w:rsid w:val="006C2AFC"/>
    <w:rsid w:val="006C2DA1"/>
    <w:rsid w:val="006C32A1"/>
    <w:rsid w:val="006C333D"/>
    <w:rsid w:val="006C3668"/>
    <w:rsid w:val="006C474E"/>
    <w:rsid w:val="006C5227"/>
    <w:rsid w:val="006C52A6"/>
    <w:rsid w:val="006C52BB"/>
    <w:rsid w:val="006C5C68"/>
    <w:rsid w:val="006C650A"/>
    <w:rsid w:val="006C6DAB"/>
    <w:rsid w:val="006C6DC1"/>
    <w:rsid w:val="006C710A"/>
    <w:rsid w:val="006C7F54"/>
    <w:rsid w:val="006D0358"/>
    <w:rsid w:val="006D183C"/>
    <w:rsid w:val="006D1C09"/>
    <w:rsid w:val="006D219A"/>
    <w:rsid w:val="006D28CF"/>
    <w:rsid w:val="006D2CCF"/>
    <w:rsid w:val="006D2D71"/>
    <w:rsid w:val="006D2F62"/>
    <w:rsid w:val="006D32D6"/>
    <w:rsid w:val="006D3882"/>
    <w:rsid w:val="006D4073"/>
    <w:rsid w:val="006D4273"/>
    <w:rsid w:val="006D4746"/>
    <w:rsid w:val="006D4815"/>
    <w:rsid w:val="006D5882"/>
    <w:rsid w:val="006D5C12"/>
    <w:rsid w:val="006D627B"/>
    <w:rsid w:val="006D6928"/>
    <w:rsid w:val="006D6978"/>
    <w:rsid w:val="006D6C86"/>
    <w:rsid w:val="006D6DF7"/>
    <w:rsid w:val="006E01FA"/>
    <w:rsid w:val="006E02E8"/>
    <w:rsid w:val="006E03BA"/>
    <w:rsid w:val="006E0538"/>
    <w:rsid w:val="006E060F"/>
    <w:rsid w:val="006E0752"/>
    <w:rsid w:val="006E092A"/>
    <w:rsid w:val="006E0C5A"/>
    <w:rsid w:val="006E0FB5"/>
    <w:rsid w:val="006E15D8"/>
    <w:rsid w:val="006E1790"/>
    <w:rsid w:val="006E1EDF"/>
    <w:rsid w:val="006E1FD1"/>
    <w:rsid w:val="006E2A25"/>
    <w:rsid w:val="006E2E84"/>
    <w:rsid w:val="006E31C4"/>
    <w:rsid w:val="006E372C"/>
    <w:rsid w:val="006E42E2"/>
    <w:rsid w:val="006E5870"/>
    <w:rsid w:val="006E6044"/>
    <w:rsid w:val="006E6EC1"/>
    <w:rsid w:val="006E700F"/>
    <w:rsid w:val="006E7292"/>
    <w:rsid w:val="006E7588"/>
    <w:rsid w:val="006E7955"/>
    <w:rsid w:val="006E7E9A"/>
    <w:rsid w:val="006F081A"/>
    <w:rsid w:val="006F0895"/>
    <w:rsid w:val="006F090D"/>
    <w:rsid w:val="006F0B1E"/>
    <w:rsid w:val="006F303A"/>
    <w:rsid w:val="006F3099"/>
    <w:rsid w:val="006F3171"/>
    <w:rsid w:val="006F37D1"/>
    <w:rsid w:val="006F3BF8"/>
    <w:rsid w:val="006F3FAB"/>
    <w:rsid w:val="006F4C5A"/>
    <w:rsid w:val="006F5C4A"/>
    <w:rsid w:val="006F5E44"/>
    <w:rsid w:val="006F617F"/>
    <w:rsid w:val="006F61D6"/>
    <w:rsid w:val="006F6826"/>
    <w:rsid w:val="006F69B5"/>
    <w:rsid w:val="006F7049"/>
    <w:rsid w:val="006F7AD1"/>
    <w:rsid w:val="00700347"/>
    <w:rsid w:val="00700589"/>
    <w:rsid w:val="00700E29"/>
    <w:rsid w:val="00700E41"/>
    <w:rsid w:val="00701122"/>
    <w:rsid w:val="007012F1"/>
    <w:rsid w:val="00701611"/>
    <w:rsid w:val="00702C67"/>
    <w:rsid w:val="007036E6"/>
    <w:rsid w:val="007038CF"/>
    <w:rsid w:val="007038F7"/>
    <w:rsid w:val="00704051"/>
    <w:rsid w:val="00704EFA"/>
    <w:rsid w:val="00705170"/>
    <w:rsid w:val="00706454"/>
    <w:rsid w:val="00706DBB"/>
    <w:rsid w:val="00706F28"/>
    <w:rsid w:val="007071CF"/>
    <w:rsid w:val="00707200"/>
    <w:rsid w:val="007079EB"/>
    <w:rsid w:val="00707A96"/>
    <w:rsid w:val="00710549"/>
    <w:rsid w:val="00710879"/>
    <w:rsid w:val="00710C3F"/>
    <w:rsid w:val="00711281"/>
    <w:rsid w:val="00711406"/>
    <w:rsid w:val="00711678"/>
    <w:rsid w:val="007119C7"/>
    <w:rsid w:val="00711FDE"/>
    <w:rsid w:val="00712460"/>
    <w:rsid w:val="00712588"/>
    <w:rsid w:val="00712726"/>
    <w:rsid w:val="00712A5B"/>
    <w:rsid w:val="00712C1C"/>
    <w:rsid w:val="00712DD1"/>
    <w:rsid w:val="0071346F"/>
    <w:rsid w:val="00714399"/>
    <w:rsid w:val="0071478E"/>
    <w:rsid w:val="007148A6"/>
    <w:rsid w:val="0071497F"/>
    <w:rsid w:val="00714B46"/>
    <w:rsid w:val="007153E5"/>
    <w:rsid w:val="00715570"/>
    <w:rsid w:val="0071623E"/>
    <w:rsid w:val="007165E9"/>
    <w:rsid w:val="00717206"/>
    <w:rsid w:val="00717B76"/>
    <w:rsid w:val="007205D9"/>
    <w:rsid w:val="00721065"/>
    <w:rsid w:val="00721BD7"/>
    <w:rsid w:val="00724162"/>
    <w:rsid w:val="0072440B"/>
    <w:rsid w:val="00724B20"/>
    <w:rsid w:val="00724B2B"/>
    <w:rsid w:val="00724BAF"/>
    <w:rsid w:val="00725962"/>
    <w:rsid w:val="00726B56"/>
    <w:rsid w:val="007279CF"/>
    <w:rsid w:val="00730011"/>
    <w:rsid w:val="00730473"/>
    <w:rsid w:val="007304B7"/>
    <w:rsid w:val="00731CD0"/>
    <w:rsid w:val="0073205D"/>
    <w:rsid w:val="007333B2"/>
    <w:rsid w:val="00733475"/>
    <w:rsid w:val="007341B7"/>
    <w:rsid w:val="007342EF"/>
    <w:rsid w:val="0073472D"/>
    <w:rsid w:val="00734C35"/>
    <w:rsid w:val="0073581E"/>
    <w:rsid w:val="00735F8B"/>
    <w:rsid w:val="00736706"/>
    <w:rsid w:val="00736E63"/>
    <w:rsid w:val="00737297"/>
    <w:rsid w:val="00737607"/>
    <w:rsid w:val="007378A1"/>
    <w:rsid w:val="00737F99"/>
    <w:rsid w:val="007402B8"/>
    <w:rsid w:val="0074077F"/>
    <w:rsid w:val="007410C8"/>
    <w:rsid w:val="0074162C"/>
    <w:rsid w:val="00742083"/>
    <w:rsid w:val="007427E3"/>
    <w:rsid w:val="00742B69"/>
    <w:rsid w:val="007437BD"/>
    <w:rsid w:val="00744256"/>
    <w:rsid w:val="00744634"/>
    <w:rsid w:val="0074519B"/>
    <w:rsid w:val="00745918"/>
    <w:rsid w:val="00745ABE"/>
    <w:rsid w:val="00745DF8"/>
    <w:rsid w:val="00746158"/>
    <w:rsid w:val="00746B9F"/>
    <w:rsid w:val="007476B1"/>
    <w:rsid w:val="00747AE4"/>
    <w:rsid w:val="00747D39"/>
    <w:rsid w:val="00747D58"/>
    <w:rsid w:val="00747E85"/>
    <w:rsid w:val="0075057F"/>
    <w:rsid w:val="00750B51"/>
    <w:rsid w:val="00750C1E"/>
    <w:rsid w:val="00750E01"/>
    <w:rsid w:val="00751451"/>
    <w:rsid w:val="007517A5"/>
    <w:rsid w:val="0075244B"/>
    <w:rsid w:val="00752F56"/>
    <w:rsid w:val="0075322E"/>
    <w:rsid w:val="00753368"/>
    <w:rsid w:val="00753B1A"/>
    <w:rsid w:val="00754DB5"/>
    <w:rsid w:val="00754EE2"/>
    <w:rsid w:val="0075503F"/>
    <w:rsid w:val="00755484"/>
    <w:rsid w:val="00755FF6"/>
    <w:rsid w:val="007563E4"/>
    <w:rsid w:val="007563FA"/>
    <w:rsid w:val="007567A8"/>
    <w:rsid w:val="00756BA2"/>
    <w:rsid w:val="00756D67"/>
    <w:rsid w:val="00757115"/>
    <w:rsid w:val="0076004F"/>
    <w:rsid w:val="00761265"/>
    <w:rsid w:val="0076158C"/>
    <w:rsid w:val="007618BC"/>
    <w:rsid w:val="00762F70"/>
    <w:rsid w:val="00763054"/>
    <w:rsid w:val="00763B3D"/>
    <w:rsid w:val="00763DF4"/>
    <w:rsid w:val="00763F99"/>
    <w:rsid w:val="007655FD"/>
    <w:rsid w:val="0076569F"/>
    <w:rsid w:val="00765714"/>
    <w:rsid w:val="00765A5A"/>
    <w:rsid w:val="0076652F"/>
    <w:rsid w:val="00766DC3"/>
    <w:rsid w:val="007674CF"/>
    <w:rsid w:val="00770792"/>
    <w:rsid w:val="00770A0A"/>
    <w:rsid w:val="00770BD4"/>
    <w:rsid w:val="00770F10"/>
    <w:rsid w:val="0077133D"/>
    <w:rsid w:val="00771A75"/>
    <w:rsid w:val="00771F02"/>
    <w:rsid w:val="00772139"/>
    <w:rsid w:val="00772C2E"/>
    <w:rsid w:val="00772D34"/>
    <w:rsid w:val="007730F3"/>
    <w:rsid w:val="00773704"/>
    <w:rsid w:val="0077401B"/>
    <w:rsid w:val="00774337"/>
    <w:rsid w:val="00774986"/>
    <w:rsid w:val="00775819"/>
    <w:rsid w:val="00776E99"/>
    <w:rsid w:val="00776EE1"/>
    <w:rsid w:val="00776F91"/>
    <w:rsid w:val="0077783B"/>
    <w:rsid w:val="00777AA1"/>
    <w:rsid w:val="00777CD9"/>
    <w:rsid w:val="00777FF5"/>
    <w:rsid w:val="007810C0"/>
    <w:rsid w:val="00781917"/>
    <w:rsid w:val="00782467"/>
    <w:rsid w:val="00782DBB"/>
    <w:rsid w:val="00782E65"/>
    <w:rsid w:val="007840A4"/>
    <w:rsid w:val="00784AF8"/>
    <w:rsid w:val="00784B29"/>
    <w:rsid w:val="00785669"/>
    <w:rsid w:val="00785715"/>
    <w:rsid w:val="00785840"/>
    <w:rsid w:val="00785EBA"/>
    <w:rsid w:val="00785F91"/>
    <w:rsid w:val="0078676F"/>
    <w:rsid w:val="00786A06"/>
    <w:rsid w:val="00786EB8"/>
    <w:rsid w:val="0078719E"/>
    <w:rsid w:val="007876AB"/>
    <w:rsid w:val="007878B3"/>
    <w:rsid w:val="007878E3"/>
    <w:rsid w:val="00787D55"/>
    <w:rsid w:val="00790134"/>
    <w:rsid w:val="00790140"/>
    <w:rsid w:val="00790C7E"/>
    <w:rsid w:val="00791F14"/>
    <w:rsid w:val="00792080"/>
    <w:rsid w:val="00792651"/>
    <w:rsid w:val="007932FE"/>
    <w:rsid w:val="00793966"/>
    <w:rsid w:val="007939BE"/>
    <w:rsid w:val="00793EF3"/>
    <w:rsid w:val="007940C1"/>
    <w:rsid w:val="0079413A"/>
    <w:rsid w:val="00794851"/>
    <w:rsid w:val="00794B8C"/>
    <w:rsid w:val="00794DF7"/>
    <w:rsid w:val="00795314"/>
    <w:rsid w:val="007955D0"/>
    <w:rsid w:val="0079565B"/>
    <w:rsid w:val="00795F4E"/>
    <w:rsid w:val="0079608A"/>
    <w:rsid w:val="007967D9"/>
    <w:rsid w:val="00797592"/>
    <w:rsid w:val="00797F19"/>
    <w:rsid w:val="007A024B"/>
    <w:rsid w:val="007A0A88"/>
    <w:rsid w:val="007A1518"/>
    <w:rsid w:val="007A1901"/>
    <w:rsid w:val="007A1D03"/>
    <w:rsid w:val="007A31C3"/>
    <w:rsid w:val="007A3AB6"/>
    <w:rsid w:val="007A3E10"/>
    <w:rsid w:val="007A4B30"/>
    <w:rsid w:val="007A5230"/>
    <w:rsid w:val="007A5A22"/>
    <w:rsid w:val="007A5A38"/>
    <w:rsid w:val="007A60E8"/>
    <w:rsid w:val="007A628E"/>
    <w:rsid w:val="007A62B5"/>
    <w:rsid w:val="007A6911"/>
    <w:rsid w:val="007A71AC"/>
    <w:rsid w:val="007A7484"/>
    <w:rsid w:val="007A75A7"/>
    <w:rsid w:val="007A7B9C"/>
    <w:rsid w:val="007B006C"/>
    <w:rsid w:val="007B0232"/>
    <w:rsid w:val="007B0974"/>
    <w:rsid w:val="007B0E1E"/>
    <w:rsid w:val="007B1A9C"/>
    <w:rsid w:val="007B220D"/>
    <w:rsid w:val="007B24D5"/>
    <w:rsid w:val="007B2B07"/>
    <w:rsid w:val="007B2B54"/>
    <w:rsid w:val="007B2DB7"/>
    <w:rsid w:val="007B33FA"/>
    <w:rsid w:val="007B3805"/>
    <w:rsid w:val="007B5042"/>
    <w:rsid w:val="007B51AC"/>
    <w:rsid w:val="007B51D9"/>
    <w:rsid w:val="007B534B"/>
    <w:rsid w:val="007B56BE"/>
    <w:rsid w:val="007B59E3"/>
    <w:rsid w:val="007B59E6"/>
    <w:rsid w:val="007B5BC9"/>
    <w:rsid w:val="007B5F7C"/>
    <w:rsid w:val="007B5FFD"/>
    <w:rsid w:val="007B6DF8"/>
    <w:rsid w:val="007B73E3"/>
    <w:rsid w:val="007B7BAA"/>
    <w:rsid w:val="007C02BB"/>
    <w:rsid w:val="007C091F"/>
    <w:rsid w:val="007C0CB1"/>
    <w:rsid w:val="007C1BBD"/>
    <w:rsid w:val="007C28D8"/>
    <w:rsid w:val="007C2AB0"/>
    <w:rsid w:val="007C2C41"/>
    <w:rsid w:val="007C2CEF"/>
    <w:rsid w:val="007C34D1"/>
    <w:rsid w:val="007C35E6"/>
    <w:rsid w:val="007C3648"/>
    <w:rsid w:val="007C3675"/>
    <w:rsid w:val="007C3DE5"/>
    <w:rsid w:val="007C3FF7"/>
    <w:rsid w:val="007C4873"/>
    <w:rsid w:val="007C48C9"/>
    <w:rsid w:val="007C57A4"/>
    <w:rsid w:val="007C5E94"/>
    <w:rsid w:val="007C6FBD"/>
    <w:rsid w:val="007C744D"/>
    <w:rsid w:val="007C7627"/>
    <w:rsid w:val="007D0C10"/>
    <w:rsid w:val="007D0CDA"/>
    <w:rsid w:val="007D1948"/>
    <w:rsid w:val="007D1A03"/>
    <w:rsid w:val="007D1C8D"/>
    <w:rsid w:val="007D1FB5"/>
    <w:rsid w:val="007D2190"/>
    <w:rsid w:val="007D21BA"/>
    <w:rsid w:val="007D23C6"/>
    <w:rsid w:val="007D24CA"/>
    <w:rsid w:val="007D26E2"/>
    <w:rsid w:val="007D2CF8"/>
    <w:rsid w:val="007D31CB"/>
    <w:rsid w:val="007D4067"/>
    <w:rsid w:val="007D425E"/>
    <w:rsid w:val="007D4276"/>
    <w:rsid w:val="007D4C7E"/>
    <w:rsid w:val="007D542C"/>
    <w:rsid w:val="007D60EB"/>
    <w:rsid w:val="007D6509"/>
    <w:rsid w:val="007D6756"/>
    <w:rsid w:val="007D6A44"/>
    <w:rsid w:val="007D6A69"/>
    <w:rsid w:val="007D6BD1"/>
    <w:rsid w:val="007D7599"/>
    <w:rsid w:val="007D75DF"/>
    <w:rsid w:val="007E0078"/>
    <w:rsid w:val="007E038B"/>
    <w:rsid w:val="007E0472"/>
    <w:rsid w:val="007E0D3B"/>
    <w:rsid w:val="007E0D9C"/>
    <w:rsid w:val="007E0F45"/>
    <w:rsid w:val="007E142E"/>
    <w:rsid w:val="007E149C"/>
    <w:rsid w:val="007E2441"/>
    <w:rsid w:val="007E28D0"/>
    <w:rsid w:val="007E2A22"/>
    <w:rsid w:val="007E2E8B"/>
    <w:rsid w:val="007E3C18"/>
    <w:rsid w:val="007E3DBB"/>
    <w:rsid w:val="007E4DB0"/>
    <w:rsid w:val="007E504C"/>
    <w:rsid w:val="007E568B"/>
    <w:rsid w:val="007E5A93"/>
    <w:rsid w:val="007E5CE8"/>
    <w:rsid w:val="007E5DC4"/>
    <w:rsid w:val="007E5FC1"/>
    <w:rsid w:val="007E62A5"/>
    <w:rsid w:val="007E6DF8"/>
    <w:rsid w:val="007E733A"/>
    <w:rsid w:val="007F012E"/>
    <w:rsid w:val="007F0288"/>
    <w:rsid w:val="007F142E"/>
    <w:rsid w:val="007F237D"/>
    <w:rsid w:val="007F2A48"/>
    <w:rsid w:val="007F2D05"/>
    <w:rsid w:val="007F3CA7"/>
    <w:rsid w:val="007F3D22"/>
    <w:rsid w:val="007F3FB1"/>
    <w:rsid w:val="007F4B52"/>
    <w:rsid w:val="007F54A7"/>
    <w:rsid w:val="007F63F9"/>
    <w:rsid w:val="007F66E2"/>
    <w:rsid w:val="007F6999"/>
    <w:rsid w:val="007F6A82"/>
    <w:rsid w:val="00802319"/>
    <w:rsid w:val="0080288B"/>
    <w:rsid w:val="008032F9"/>
    <w:rsid w:val="00803893"/>
    <w:rsid w:val="00803B66"/>
    <w:rsid w:val="008043FA"/>
    <w:rsid w:val="008046FE"/>
    <w:rsid w:val="00804A5B"/>
    <w:rsid w:val="0080563D"/>
    <w:rsid w:val="00805C84"/>
    <w:rsid w:val="00805D0A"/>
    <w:rsid w:val="00805D84"/>
    <w:rsid w:val="008062A8"/>
    <w:rsid w:val="00806400"/>
    <w:rsid w:val="00806C2F"/>
    <w:rsid w:val="00806C93"/>
    <w:rsid w:val="00806EDD"/>
    <w:rsid w:val="00810F9D"/>
    <w:rsid w:val="008115B0"/>
    <w:rsid w:val="00811CDC"/>
    <w:rsid w:val="00811D9B"/>
    <w:rsid w:val="00812231"/>
    <w:rsid w:val="00812790"/>
    <w:rsid w:val="00812A8B"/>
    <w:rsid w:val="00812D7D"/>
    <w:rsid w:val="00812DA6"/>
    <w:rsid w:val="00812DC0"/>
    <w:rsid w:val="00813486"/>
    <w:rsid w:val="00813B0A"/>
    <w:rsid w:val="00813D26"/>
    <w:rsid w:val="0081452F"/>
    <w:rsid w:val="00814634"/>
    <w:rsid w:val="008146F2"/>
    <w:rsid w:val="00814BB8"/>
    <w:rsid w:val="00814CA6"/>
    <w:rsid w:val="00815D59"/>
    <w:rsid w:val="008165C9"/>
    <w:rsid w:val="008168DA"/>
    <w:rsid w:val="00816971"/>
    <w:rsid w:val="00816DF9"/>
    <w:rsid w:val="008175D4"/>
    <w:rsid w:val="00817650"/>
    <w:rsid w:val="00817850"/>
    <w:rsid w:val="00820137"/>
    <w:rsid w:val="00820673"/>
    <w:rsid w:val="00820734"/>
    <w:rsid w:val="00820890"/>
    <w:rsid w:val="008208BA"/>
    <w:rsid w:val="00820BCF"/>
    <w:rsid w:val="008210EF"/>
    <w:rsid w:val="008210F4"/>
    <w:rsid w:val="00821E83"/>
    <w:rsid w:val="0082206B"/>
    <w:rsid w:val="008228A0"/>
    <w:rsid w:val="0082307E"/>
    <w:rsid w:val="00823214"/>
    <w:rsid w:val="00823417"/>
    <w:rsid w:val="008244CD"/>
    <w:rsid w:val="00825963"/>
    <w:rsid w:val="00825C9C"/>
    <w:rsid w:val="0082600B"/>
    <w:rsid w:val="008269E2"/>
    <w:rsid w:val="008272E9"/>
    <w:rsid w:val="00827A5C"/>
    <w:rsid w:val="00830EBF"/>
    <w:rsid w:val="0083146C"/>
    <w:rsid w:val="008319F0"/>
    <w:rsid w:val="00831A92"/>
    <w:rsid w:val="00831AC7"/>
    <w:rsid w:val="00832237"/>
    <w:rsid w:val="008325BF"/>
    <w:rsid w:val="00832C9A"/>
    <w:rsid w:val="00832D8E"/>
    <w:rsid w:val="008331BF"/>
    <w:rsid w:val="00834AB4"/>
    <w:rsid w:val="008352E8"/>
    <w:rsid w:val="00835C0C"/>
    <w:rsid w:val="008361EC"/>
    <w:rsid w:val="00836B27"/>
    <w:rsid w:val="008417AB"/>
    <w:rsid w:val="00841A9C"/>
    <w:rsid w:val="00841B57"/>
    <w:rsid w:val="0084275A"/>
    <w:rsid w:val="008428B0"/>
    <w:rsid w:val="00842EA1"/>
    <w:rsid w:val="00843ED2"/>
    <w:rsid w:val="00844135"/>
    <w:rsid w:val="008449BC"/>
    <w:rsid w:val="00845B2C"/>
    <w:rsid w:val="00845FF2"/>
    <w:rsid w:val="008466E3"/>
    <w:rsid w:val="00846AD1"/>
    <w:rsid w:val="0085020C"/>
    <w:rsid w:val="00851000"/>
    <w:rsid w:val="008511D0"/>
    <w:rsid w:val="008518CD"/>
    <w:rsid w:val="0085193C"/>
    <w:rsid w:val="00851A96"/>
    <w:rsid w:val="00851C07"/>
    <w:rsid w:val="0085247F"/>
    <w:rsid w:val="00852ABF"/>
    <w:rsid w:val="00852D91"/>
    <w:rsid w:val="00852F48"/>
    <w:rsid w:val="008533E2"/>
    <w:rsid w:val="00853688"/>
    <w:rsid w:val="008543A9"/>
    <w:rsid w:val="008543AC"/>
    <w:rsid w:val="00854CEA"/>
    <w:rsid w:val="0085530D"/>
    <w:rsid w:val="00855332"/>
    <w:rsid w:val="00855350"/>
    <w:rsid w:val="00855620"/>
    <w:rsid w:val="00855D8C"/>
    <w:rsid w:val="0085642C"/>
    <w:rsid w:val="008566F5"/>
    <w:rsid w:val="00856AC4"/>
    <w:rsid w:val="00856B8A"/>
    <w:rsid w:val="00856C90"/>
    <w:rsid w:val="008572C0"/>
    <w:rsid w:val="008576BD"/>
    <w:rsid w:val="008579AA"/>
    <w:rsid w:val="00857CE0"/>
    <w:rsid w:val="00857FE9"/>
    <w:rsid w:val="00860138"/>
    <w:rsid w:val="008618AB"/>
    <w:rsid w:val="00862028"/>
    <w:rsid w:val="00862595"/>
    <w:rsid w:val="00862CF0"/>
    <w:rsid w:val="0086313B"/>
    <w:rsid w:val="0086318F"/>
    <w:rsid w:val="008634F5"/>
    <w:rsid w:val="00864379"/>
    <w:rsid w:val="00864C42"/>
    <w:rsid w:val="00864FB9"/>
    <w:rsid w:val="00865AD4"/>
    <w:rsid w:val="00865BE9"/>
    <w:rsid w:val="008661EE"/>
    <w:rsid w:val="0086754D"/>
    <w:rsid w:val="00867581"/>
    <w:rsid w:val="008675FA"/>
    <w:rsid w:val="00867BEE"/>
    <w:rsid w:val="008706CF"/>
    <w:rsid w:val="00870937"/>
    <w:rsid w:val="00870AA8"/>
    <w:rsid w:val="00870EFD"/>
    <w:rsid w:val="00871449"/>
    <w:rsid w:val="008718E5"/>
    <w:rsid w:val="00872177"/>
    <w:rsid w:val="0087223A"/>
    <w:rsid w:val="00872281"/>
    <w:rsid w:val="0087301A"/>
    <w:rsid w:val="0087349C"/>
    <w:rsid w:val="008735D0"/>
    <w:rsid w:val="008738C2"/>
    <w:rsid w:val="00874150"/>
    <w:rsid w:val="008744B3"/>
    <w:rsid w:val="00874CE7"/>
    <w:rsid w:val="00874F7C"/>
    <w:rsid w:val="0087547B"/>
    <w:rsid w:val="008778F7"/>
    <w:rsid w:val="00877AB7"/>
    <w:rsid w:val="00877AE4"/>
    <w:rsid w:val="00877B1F"/>
    <w:rsid w:val="00877FC0"/>
    <w:rsid w:val="00877FCB"/>
    <w:rsid w:val="008801E0"/>
    <w:rsid w:val="008804B2"/>
    <w:rsid w:val="0088055A"/>
    <w:rsid w:val="008805C5"/>
    <w:rsid w:val="00880831"/>
    <w:rsid w:val="00880FBB"/>
    <w:rsid w:val="00881A9F"/>
    <w:rsid w:val="00882177"/>
    <w:rsid w:val="008822FB"/>
    <w:rsid w:val="0088239B"/>
    <w:rsid w:val="008830EB"/>
    <w:rsid w:val="008840AF"/>
    <w:rsid w:val="00884416"/>
    <w:rsid w:val="0088449C"/>
    <w:rsid w:val="00885713"/>
    <w:rsid w:val="00885874"/>
    <w:rsid w:val="00887B99"/>
    <w:rsid w:val="008907DE"/>
    <w:rsid w:val="00890914"/>
    <w:rsid w:val="00890B71"/>
    <w:rsid w:val="00890B8B"/>
    <w:rsid w:val="00890D45"/>
    <w:rsid w:val="00890D5B"/>
    <w:rsid w:val="00891028"/>
    <w:rsid w:val="008914C2"/>
    <w:rsid w:val="00892F15"/>
    <w:rsid w:val="00893DCA"/>
    <w:rsid w:val="00893E7F"/>
    <w:rsid w:val="00893E8C"/>
    <w:rsid w:val="00894155"/>
    <w:rsid w:val="00894643"/>
    <w:rsid w:val="00895FB9"/>
    <w:rsid w:val="0089714D"/>
    <w:rsid w:val="00897151"/>
    <w:rsid w:val="00897817"/>
    <w:rsid w:val="008A021B"/>
    <w:rsid w:val="008A065B"/>
    <w:rsid w:val="008A101F"/>
    <w:rsid w:val="008A1230"/>
    <w:rsid w:val="008A18F6"/>
    <w:rsid w:val="008A214E"/>
    <w:rsid w:val="008A2B82"/>
    <w:rsid w:val="008A2DAD"/>
    <w:rsid w:val="008A37FD"/>
    <w:rsid w:val="008A382F"/>
    <w:rsid w:val="008A38ED"/>
    <w:rsid w:val="008A4167"/>
    <w:rsid w:val="008A4232"/>
    <w:rsid w:val="008A44CC"/>
    <w:rsid w:val="008A4813"/>
    <w:rsid w:val="008A5025"/>
    <w:rsid w:val="008A5650"/>
    <w:rsid w:val="008A5ACF"/>
    <w:rsid w:val="008A6052"/>
    <w:rsid w:val="008A6301"/>
    <w:rsid w:val="008A6A3C"/>
    <w:rsid w:val="008A6A75"/>
    <w:rsid w:val="008A6BB9"/>
    <w:rsid w:val="008A6C4C"/>
    <w:rsid w:val="008A6C68"/>
    <w:rsid w:val="008A6FEB"/>
    <w:rsid w:val="008A6FED"/>
    <w:rsid w:val="008B01E4"/>
    <w:rsid w:val="008B1907"/>
    <w:rsid w:val="008B19BD"/>
    <w:rsid w:val="008B1A50"/>
    <w:rsid w:val="008B1CF6"/>
    <w:rsid w:val="008B1D8D"/>
    <w:rsid w:val="008B20B1"/>
    <w:rsid w:val="008B23A8"/>
    <w:rsid w:val="008B23CB"/>
    <w:rsid w:val="008B2B1F"/>
    <w:rsid w:val="008B3A92"/>
    <w:rsid w:val="008B4119"/>
    <w:rsid w:val="008B4454"/>
    <w:rsid w:val="008B463D"/>
    <w:rsid w:val="008B57CF"/>
    <w:rsid w:val="008B58D5"/>
    <w:rsid w:val="008B58ED"/>
    <w:rsid w:val="008B5A3B"/>
    <w:rsid w:val="008B5DC7"/>
    <w:rsid w:val="008B64F2"/>
    <w:rsid w:val="008B6625"/>
    <w:rsid w:val="008B6E66"/>
    <w:rsid w:val="008B727F"/>
    <w:rsid w:val="008B7A2F"/>
    <w:rsid w:val="008B7FCF"/>
    <w:rsid w:val="008C0453"/>
    <w:rsid w:val="008C063E"/>
    <w:rsid w:val="008C1F63"/>
    <w:rsid w:val="008C24B9"/>
    <w:rsid w:val="008C2762"/>
    <w:rsid w:val="008C2BCC"/>
    <w:rsid w:val="008C2C40"/>
    <w:rsid w:val="008C36E9"/>
    <w:rsid w:val="008C384D"/>
    <w:rsid w:val="008C41F8"/>
    <w:rsid w:val="008C45B8"/>
    <w:rsid w:val="008C5C68"/>
    <w:rsid w:val="008C5F47"/>
    <w:rsid w:val="008C64D6"/>
    <w:rsid w:val="008C651F"/>
    <w:rsid w:val="008C7265"/>
    <w:rsid w:val="008D003F"/>
    <w:rsid w:val="008D0127"/>
    <w:rsid w:val="008D023E"/>
    <w:rsid w:val="008D0CBC"/>
    <w:rsid w:val="008D1658"/>
    <w:rsid w:val="008D1988"/>
    <w:rsid w:val="008D2886"/>
    <w:rsid w:val="008D2933"/>
    <w:rsid w:val="008D2CDF"/>
    <w:rsid w:val="008D3B80"/>
    <w:rsid w:val="008D4786"/>
    <w:rsid w:val="008D4A2A"/>
    <w:rsid w:val="008D4A31"/>
    <w:rsid w:val="008D5999"/>
    <w:rsid w:val="008D6F65"/>
    <w:rsid w:val="008D75E9"/>
    <w:rsid w:val="008D7BA6"/>
    <w:rsid w:val="008E05D4"/>
    <w:rsid w:val="008E0BD2"/>
    <w:rsid w:val="008E0F77"/>
    <w:rsid w:val="008E154F"/>
    <w:rsid w:val="008E1C03"/>
    <w:rsid w:val="008E1C20"/>
    <w:rsid w:val="008E2299"/>
    <w:rsid w:val="008E27D8"/>
    <w:rsid w:val="008E2BD5"/>
    <w:rsid w:val="008E2EAA"/>
    <w:rsid w:val="008E3B32"/>
    <w:rsid w:val="008E3F9A"/>
    <w:rsid w:val="008E4629"/>
    <w:rsid w:val="008E4CC7"/>
    <w:rsid w:val="008E59DE"/>
    <w:rsid w:val="008E5A95"/>
    <w:rsid w:val="008E618F"/>
    <w:rsid w:val="008E68B1"/>
    <w:rsid w:val="008E69F5"/>
    <w:rsid w:val="008E6B0A"/>
    <w:rsid w:val="008E6B49"/>
    <w:rsid w:val="008E7862"/>
    <w:rsid w:val="008F0756"/>
    <w:rsid w:val="008F0A16"/>
    <w:rsid w:val="008F0CFE"/>
    <w:rsid w:val="008F1CFB"/>
    <w:rsid w:val="008F21EB"/>
    <w:rsid w:val="008F3254"/>
    <w:rsid w:val="008F32C0"/>
    <w:rsid w:val="008F33A1"/>
    <w:rsid w:val="008F477F"/>
    <w:rsid w:val="008F4904"/>
    <w:rsid w:val="008F4DD6"/>
    <w:rsid w:val="008F4FCB"/>
    <w:rsid w:val="008F5D0A"/>
    <w:rsid w:val="008F65F2"/>
    <w:rsid w:val="008F6E3F"/>
    <w:rsid w:val="008F78F1"/>
    <w:rsid w:val="008F7B05"/>
    <w:rsid w:val="00900BB1"/>
    <w:rsid w:val="0090157D"/>
    <w:rsid w:val="0090169D"/>
    <w:rsid w:val="00901EF6"/>
    <w:rsid w:val="00902313"/>
    <w:rsid w:val="00902315"/>
    <w:rsid w:val="0090304C"/>
    <w:rsid w:val="00903130"/>
    <w:rsid w:val="00904414"/>
    <w:rsid w:val="00904A39"/>
    <w:rsid w:val="0090542E"/>
    <w:rsid w:val="009056A0"/>
    <w:rsid w:val="00905790"/>
    <w:rsid w:val="00905B80"/>
    <w:rsid w:val="00906565"/>
    <w:rsid w:val="009065CA"/>
    <w:rsid w:val="0090662D"/>
    <w:rsid w:val="0090740C"/>
    <w:rsid w:val="0091080A"/>
    <w:rsid w:val="00910C89"/>
    <w:rsid w:val="00910F5A"/>
    <w:rsid w:val="00910FAA"/>
    <w:rsid w:val="00911B76"/>
    <w:rsid w:val="00911CF9"/>
    <w:rsid w:val="00911E2E"/>
    <w:rsid w:val="009127E1"/>
    <w:rsid w:val="009140CE"/>
    <w:rsid w:val="0091411D"/>
    <w:rsid w:val="0091473C"/>
    <w:rsid w:val="00915189"/>
    <w:rsid w:val="00915C7E"/>
    <w:rsid w:val="00915DA0"/>
    <w:rsid w:val="00916111"/>
    <w:rsid w:val="00917CEF"/>
    <w:rsid w:val="0092022D"/>
    <w:rsid w:val="009206DA"/>
    <w:rsid w:val="009211A0"/>
    <w:rsid w:val="00921ADA"/>
    <w:rsid w:val="009220ED"/>
    <w:rsid w:val="0092218C"/>
    <w:rsid w:val="0092249F"/>
    <w:rsid w:val="00922ADD"/>
    <w:rsid w:val="00922CED"/>
    <w:rsid w:val="00922D88"/>
    <w:rsid w:val="009242D4"/>
    <w:rsid w:val="009244AA"/>
    <w:rsid w:val="00924611"/>
    <w:rsid w:val="00924C0B"/>
    <w:rsid w:val="00924C7C"/>
    <w:rsid w:val="00925192"/>
    <w:rsid w:val="009251BA"/>
    <w:rsid w:val="00926281"/>
    <w:rsid w:val="0092646C"/>
    <w:rsid w:val="00926799"/>
    <w:rsid w:val="00927E3A"/>
    <w:rsid w:val="00930389"/>
    <w:rsid w:val="0093140B"/>
    <w:rsid w:val="009318D1"/>
    <w:rsid w:val="00931DE6"/>
    <w:rsid w:val="00931EC6"/>
    <w:rsid w:val="0093282E"/>
    <w:rsid w:val="00932937"/>
    <w:rsid w:val="00932B10"/>
    <w:rsid w:val="00933F24"/>
    <w:rsid w:val="009341E3"/>
    <w:rsid w:val="00935792"/>
    <w:rsid w:val="009358F1"/>
    <w:rsid w:val="00935E20"/>
    <w:rsid w:val="00936BC1"/>
    <w:rsid w:val="00936D9D"/>
    <w:rsid w:val="009375B0"/>
    <w:rsid w:val="00937C7B"/>
    <w:rsid w:val="00937CA1"/>
    <w:rsid w:val="00940DE0"/>
    <w:rsid w:val="0094100B"/>
    <w:rsid w:val="00941159"/>
    <w:rsid w:val="00942367"/>
    <w:rsid w:val="009439AA"/>
    <w:rsid w:val="009447D1"/>
    <w:rsid w:val="00944995"/>
    <w:rsid w:val="00944E55"/>
    <w:rsid w:val="00945BD8"/>
    <w:rsid w:val="00946859"/>
    <w:rsid w:val="00946AA7"/>
    <w:rsid w:val="0094784F"/>
    <w:rsid w:val="0095032E"/>
    <w:rsid w:val="009504DC"/>
    <w:rsid w:val="00950C61"/>
    <w:rsid w:val="00950F13"/>
    <w:rsid w:val="0095172E"/>
    <w:rsid w:val="00951FA2"/>
    <w:rsid w:val="0095277C"/>
    <w:rsid w:val="00952B79"/>
    <w:rsid w:val="0095307C"/>
    <w:rsid w:val="00953103"/>
    <w:rsid w:val="009531D1"/>
    <w:rsid w:val="00953E5C"/>
    <w:rsid w:val="00953EB8"/>
    <w:rsid w:val="00953F3D"/>
    <w:rsid w:val="00953F97"/>
    <w:rsid w:val="009540BA"/>
    <w:rsid w:val="00954214"/>
    <w:rsid w:val="0095492C"/>
    <w:rsid w:val="00954BB7"/>
    <w:rsid w:val="009553A3"/>
    <w:rsid w:val="009553BA"/>
    <w:rsid w:val="009553EE"/>
    <w:rsid w:val="009554F5"/>
    <w:rsid w:val="00955727"/>
    <w:rsid w:val="009558B5"/>
    <w:rsid w:val="00955B3C"/>
    <w:rsid w:val="009567DB"/>
    <w:rsid w:val="00957733"/>
    <w:rsid w:val="00960552"/>
    <w:rsid w:val="009609C4"/>
    <w:rsid w:val="0096192D"/>
    <w:rsid w:val="00962C31"/>
    <w:rsid w:val="00963354"/>
    <w:rsid w:val="00965D21"/>
    <w:rsid w:val="009661A5"/>
    <w:rsid w:val="009663F9"/>
    <w:rsid w:val="009666AD"/>
    <w:rsid w:val="00966895"/>
    <w:rsid w:val="00966930"/>
    <w:rsid w:val="00966B4F"/>
    <w:rsid w:val="009672DD"/>
    <w:rsid w:val="00967414"/>
    <w:rsid w:val="00967A53"/>
    <w:rsid w:val="00967ADD"/>
    <w:rsid w:val="00967BD4"/>
    <w:rsid w:val="00967C0F"/>
    <w:rsid w:val="00967F11"/>
    <w:rsid w:val="00970011"/>
    <w:rsid w:val="00970096"/>
    <w:rsid w:val="009700D2"/>
    <w:rsid w:val="00970471"/>
    <w:rsid w:val="00970724"/>
    <w:rsid w:val="00970753"/>
    <w:rsid w:val="00971123"/>
    <w:rsid w:val="00971D14"/>
    <w:rsid w:val="00972E78"/>
    <w:rsid w:val="00973CC9"/>
    <w:rsid w:val="00973E98"/>
    <w:rsid w:val="00973F99"/>
    <w:rsid w:val="00974172"/>
    <w:rsid w:val="00974A86"/>
    <w:rsid w:val="00974ED3"/>
    <w:rsid w:val="00974F6B"/>
    <w:rsid w:val="00975136"/>
    <w:rsid w:val="0097598C"/>
    <w:rsid w:val="00975B25"/>
    <w:rsid w:val="00976321"/>
    <w:rsid w:val="00976854"/>
    <w:rsid w:val="009771F3"/>
    <w:rsid w:val="00977273"/>
    <w:rsid w:val="009772E7"/>
    <w:rsid w:val="009779C1"/>
    <w:rsid w:val="00980B81"/>
    <w:rsid w:val="00980CFF"/>
    <w:rsid w:val="009817E2"/>
    <w:rsid w:val="00981D29"/>
    <w:rsid w:val="00981FC6"/>
    <w:rsid w:val="00982017"/>
    <w:rsid w:val="0098213F"/>
    <w:rsid w:val="009821A4"/>
    <w:rsid w:val="009836A2"/>
    <w:rsid w:val="00983932"/>
    <w:rsid w:val="00983C80"/>
    <w:rsid w:val="00984061"/>
    <w:rsid w:val="00984A24"/>
    <w:rsid w:val="00984A4B"/>
    <w:rsid w:val="00985120"/>
    <w:rsid w:val="009852A4"/>
    <w:rsid w:val="009856E8"/>
    <w:rsid w:val="00985A08"/>
    <w:rsid w:val="009861DC"/>
    <w:rsid w:val="0098625D"/>
    <w:rsid w:val="00986EEC"/>
    <w:rsid w:val="0098737E"/>
    <w:rsid w:val="009873E1"/>
    <w:rsid w:val="00987591"/>
    <w:rsid w:val="009876D1"/>
    <w:rsid w:val="009878A9"/>
    <w:rsid w:val="009906CA"/>
    <w:rsid w:val="00990841"/>
    <w:rsid w:val="00990DFD"/>
    <w:rsid w:val="00991106"/>
    <w:rsid w:val="0099186D"/>
    <w:rsid w:val="00992478"/>
    <w:rsid w:val="009928B4"/>
    <w:rsid w:val="00992BD8"/>
    <w:rsid w:val="00992C3B"/>
    <w:rsid w:val="00993DB6"/>
    <w:rsid w:val="00993E7E"/>
    <w:rsid w:val="00993F94"/>
    <w:rsid w:val="00994A4C"/>
    <w:rsid w:val="00994B9A"/>
    <w:rsid w:val="00994EF2"/>
    <w:rsid w:val="0099524E"/>
    <w:rsid w:val="009954C7"/>
    <w:rsid w:val="009955D5"/>
    <w:rsid w:val="009957FF"/>
    <w:rsid w:val="00996249"/>
    <w:rsid w:val="00996259"/>
    <w:rsid w:val="0099638A"/>
    <w:rsid w:val="009967C0"/>
    <w:rsid w:val="009973A5"/>
    <w:rsid w:val="00997579"/>
    <w:rsid w:val="009975A9"/>
    <w:rsid w:val="009977C1"/>
    <w:rsid w:val="00997AEC"/>
    <w:rsid w:val="00997C77"/>
    <w:rsid w:val="00997F61"/>
    <w:rsid w:val="009A05F3"/>
    <w:rsid w:val="009A0640"/>
    <w:rsid w:val="009A0A7D"/>
    <w:rsid w:val="009A1BD4"/>
    <w:rsid w:val="009A1E60"/>
    <w:rsid w:val="009A1F2A"/>
    <w:rsid w:val="009A399C"/>
    <w:rsid w:val="009A41C5"/>
    <w:rsid w:val="009A4653"/>
    <w:rsid w:val="009A4AA4"/>
    <w:rsid w:val="009A50BB"/>
    <w:rsid w:val="009A51C1"/>
    <w:rsid w:val="009A52C6"/>
    <w:rsid w:val="009A5852"/>
    <w:rsid w:val="009A5A97"/>
    <w:rsid w:val="009A6AC6"/>
    <w:rsid w:val="009A6ED9"/>
    <w:rsid w:val="009A7740"/>
    <w:rsid w:val="009A7FD6"/>
    <w:rsid w:val="009B055A"/>
    <w:rsid w:val="009B0C5D"/>
    <w:rsid w:val="009B1377"/>
    <w:rsid w:val="009B2730"/>
    <w:rsid w:val="009B3D9F"/>
    <w:rsid w:val="009B4131"/>
    <w:rsid w:val="009B418B"/>
    <w:rsid w:val="009B48DA"/>
    <w:rsid w:val="009B4D5A"/>
    <w:rsid w:val="009B5C86"/>
    <w:rsid w:val="009B6086"/>
    <w:rsid w:val="009B624D"/>
    <w:rsid w:val="009B6D13"/>
    <w:rsid w:val="009B6D86"/>
    <w:rsid w:val="009B6F07"/>
    <w:rsid w:val="009B74EE"/>
    <w:rsid w:val="009B751E"/>
    <w:rsid w:val="009B7989"/>
    <w:rsid w:val="009C0252"/>
    <w:rsid w:val="009C12A9"/>
    <w:rsid w:val="009C1638"/>
    <w:rsid w:val="009C21DB"/>
    <w:rsid w:val="009C2899"/>
    <w:rsid w:val="009C3054"/>
    <w:rsid w:val="009C31CA"/>
    <w:rsid w:val="009C3584"/>
    <w:rsid w:val="009C35D1"/>
    <w:rsid w:val="009C3741"/>
    <w:rsid w:val="009C3F22"/>
    <w:rsid w:val="009C4B38"/>
    <w:rsid w:val="009C4E1F"/>
    <w:rsid w:val="009C5FD1"/>
    <w:rsid w:val="009C6109"/>
    <w:rsid w:val="009C6796"/>
    <w:rsid w:val="009C6EFC"/>
    <w:rsid w:val="009C729B"/>
    <w:rsid w:val="009C7464"/>
    <w:rsid w:val="009C76A5"/>
    <w:rsid w:val="009C7997"/>
    <w:rsid w:val="009C7D17"/>
    <w:rsid w:val="009D0418"/>
    <w:rsid w:val="009D0950"/>
    <w:rsid w:val="009D0FD7"/>
    <w:rsid w:val="009D170F"/>
    <w:rsid w:val="009D17D6"/>
    <w:rsid w:val="009D3C6F"/>
    <w:rsid w:val="009D40EE"/>
    <w:rsid w:val="009D44A6"/>
    <w:rsid w:val="009D4790"/>
    <w:rsid w:val="009D4C3E"/>
    <w:rsid w:val="009D5040"/>
    <w:rsid w:val="009D5233"/>
    <w:rsid w:val="009D5EE1"/>
    <w:rsid w:val="009D60CC"/>
    <w:rsid w:val="009D68A4"/>
    <w:rsid w:val="009D6B00"/>
    <w:rsid w:val="009E0384"/>
    <w:rsid w:val="009E1D75"/>
    <w:rsid w:val="009E203E"/>
    <w:rsid w:val="009E2253"/>
    <w:rsid w:val="009E25F2"/>
    <w:rsid w:val="009E27D9"/>
    <w:rsid w:val="009E2DEF"/>
    <w:rsid w:val="009E2E45"/>
    <w:rsid w:val="009E3247"/>
    <w:rsid w:val="009E41FE"/>
    <w:rsid w:val="009E4467"/>
    <w:rsid w:val="009E4760"/>
    <w:rsid w:val="009E47A9"/>
    <w:rsid w:val="009E4B87"/>
    <w:rsid w:val="009E4EE4"/>
    <w:rsid w:val="009E5162"/>
    <w:rsid w:val="009E5804"/>
    <w:rsid w:val="009E5A8D"/>
    <w:rsid w:val="009E5EAF"/>
    <w:rsid w:val="009E5F8E"/>
    <w:rsid w:val="009E650B"/>
    <w:rsid w:val="009E6A4B"/>
    <w:rsid w:val="009F0215"/>
    <w:rsid w:val="009F0260"/>
    <w:rsid w:val="009F05CC"/>
    <w:rsid w:val="009F0BE0"/>
    <w:rsid w:val="009F0EC4"/>
    <w:rsid w:val="009F11C9"/>
    <w:rsid w:val="009F1214"/>
    <w:rsid w:val="009F1CAE"/>
    <w:rsid w:val="009F20B2"/>
    <w:rsid w:val="009F23FC"/>
    <w:rsid w:val="009F23FD"/>
    <w:rsid w:val="009F3311"/>
    <w:rsid w:val="009F351F"/>
    <w:rsid w:val="009F3EFC"/>
    <w:rsid w:val="009F4223"/>
    <w:rsid w:val="009F47C5"/>
    <w:rsid w:val="009F4A43"/>
    <w:rsid w:val="009F5CBF"/>
    <w:rsid w:val="009F6FB5"/>
    <w:rsid w:val="009F7158"/>
    <w:rsid w:val="00A0096A"/>
    <w:rsid w:val="00A01158"/>
    <w:rsid w:val="00A012EB"/>
    <w:rsid w:val="00A01371"/>
    <w:rsid w:val="00A01424"/>
    <w:rsid w:val="00A016F8"/>
    <w:rsid w:val="00A01AC8"/>
    <w:rsid w:val="00A0245C"/>
    <w:rsid w:val="00A02554"/>
    <w:rsid w:val="00A025CC"/>
    <w:rsid w:val="00A026C2"/>
    <w:rsid w:val="00A02C04"/>
    <w:rsid w:val="00A03892"/>
    <w:rsid w:val="00A03D0C"/>
    <w:rsid w:val="00A03E63"/>
    <w:rsid w:val="00A04453"/>
    <w:rsid w:val="00A044DE"/>
    <w:rsid w:val="00A04576"/>
    <w:rsid w:val="00A04648"/>
    <w:rsid w:val="00A046AD"/>
    <w:rsid w:val="00A04A5E"/>
    <w:rsid w:val="00A04E64"/>
    <w:rsid w:val="00A0582D"/>
    <w:rsid w:val="00A05EF0"/>
    <w:rsid w:val="00A06095"/>
    <w:rsid w:val="00A0614A"/>
    <w:rsid w:val="00A06240"/>
    <w:rsid w:val="00A067D2"/>
    <w:rsid w:val="00A071E2"/>
    <w:rsid w:val="00A07591"/>
    <w:rsid w:val="00A07604"/>
    <w:rsid w:val="00A07EDF"/>
    <w:rsid w:val="00A10060"/>
    <w:rsid w:val="00A10A7E"/>
    <w:rsid w:val="00A10AE7"/>
    <w:rsid w:val="00A10F20"/>
    <w:rsid w:val="00A11645"/>
    <w:rsid w:val="00A11C5A"/>
    <w:rsid w:val="00A12144"/>
    <w:rsid w:val="00A123FE"/>
    <w:rsid w:val="00A12687"/>
    <w:rsid w:val="00A126C2"/>
    <w:rsid w:val="00A12830"/>
    <w:rsid w:val="00A12BA1"/>
    <w:rsid w:val="00A12C84"/>
    <w:rsid w:val="00A12FCB"/>
    <w:rsid w:val="00A1306B"/>
    <w:rsid w:val="00A138C1"/>
    <w:rsid w:val="00A141A7"/>
    <w:rsid w:val="00A14BC5"/>
    <w:rsid w:val="00A14EC5"/>
    <w:rsid w:val="00A15042"/>
    <w:rsid w:val="00A1591C"/>
    <w:rsid w:val="00A15D77"/>
    <w:rsid w:val="00A162A5"/>
    <w:rsid w:val="00A164C7"/>
    <w:rsid w:val="00A166E2"/>
    <w:rsid w:val="00A16D33"/>
    <w:rsid w:val="00A17453"/>
    <w:rsid w:val="00A17709"/>
    <w:rsid w:val="00A20620"/>
    <w:rsid w:val="00A2102B"/>
    <w:rsid w:val="00A217B7"/>
    <w:rsid w:val="00A21C92"/>
    <w:rsid w:val="00A22607"/>
    <w:rsid w:val="00A22A91"/>
    <w:rsid w:val="00A22B21"/>
    <w:rsid w:val="00A22FE7"/>
    <w:rsid w:val="00A2500C"/>
    <w:rsid w:val="00A2585B"/>
    <w:rsid w:val="00A25A3C"/>
    <w:rsid w:val="00A25DA6"/>
    <w:rsid w:val="00A2628E"/>
    <w:rsid w:val="00A26937"/>
    <w:rsid w:val="00A26C10"/>
    <w:rsid w:val="00A26C2A"/>
    <w:rsid w:val="00A26CCD"/>
    <w:rsid w:val="00A26D51"/>
    <w:rsid w:val="00A26FBB"/>
    <w:rsid w:val="00A274E4"/>
    <w:rsid w:val="00A27B87"/>
    <w:rsid w:val="00A30A7C"/>
    <w:rsid w:val="00A31572"/>
    <w:rsid w:val="00A315B0"/>
    <w:rsid w:val="00A31730"/>
    <w:rsid w:val="00A31DC9"/>
    <w:rsid w:val="00A32AF8"/>
    <w:rsid w:val="00A3315F"/>
    <w:rsid w:val="00A33436"/>
    <w:rsid w:val="00A334B4"/>
    <w:rsid w:val="00A3352D"/>
    <w:rsid w:val="00A3357D"/>
    <w:rsid w:val="00A33CC6"/>
    <w:rsid w:val="00A3411F"/>
    <w:rsid w:val="00A342C6"/>
    <w:rsid w:val="00A34A7C"/>
    <w:rsid w:val="00A34EF2"/>
    <w:rsid w:val="00A35126"/>
    <w:rsid w:val="00A35D2F"/>
    <w:rsid w:val="00A35F07"/>
    <w:rsid w:val="00A3690D"/>
    <w:rsid w:val="00A36C01"/>
    <w:rsid w:val="00A36FDD"/>
    <w:rsid w:val="00A37F11"/>
    <w:rsid w:val="00A40224"/>
    <w:rsid w:val="00A40C8B"/>
    <w:rsid w:val="00A40D41"/>
    <w:rsid w:val="00A41218"/>
    <w:rsid w:val="00A41315"/>
    <w:rsid w:val="00A415A3"/>
    <w:rsid w:val="00A41C68"/>
    <w:rsid w:val="00A42111"/>
    <w:rsid w:val="00A424E2"/>
    <w:rsid w:val="00A43475"/>
    <w:rsid w:val="00A450AA"/>
    <w:rsid w:val="00A46408"/>
    <w:rsid w:val="00A46C3A"/>
    <w:rsid w:val="00A46CB1"/>
    <w:rsid w:val="00A50CA3"/>
    <w:rsid w:val="00A51201"/>
    <w:rsid w:val="00A51476"/>
    <w:rsid w:val="00A51624"/>
    <w:rsid w:val="00A5231E"/>
    <w:rsid w:val="00A526FF"/>
    <w:rsid w:val="00A52923"/>
    <w:rsid w:val="00A5337F"/>
    <w:rsid w:val="00A533DE"/>
    <w:rsid w:val="00A534B5"/>
    <w:rsid w:val="00A546CE"/>
    <w:rsid w:val="00A55212"/>
    <w:rsid w:val="00A55333"/>
    <w:rsid w:val="00A55FF3"/>
    <w:rsid w:val="00A5626F"/>
    <w:rsid w:val="00A566AE"/>
    <w:rsid w:val="00A576BB"/>
    <w:rsid w:val="00A57847"/>
    <w:rsid w:val="00A60851"/>
    <w:rsid w:val="00A61092"/>
    <w:rsid w:val="00A612E7"/>
    <w:rsid w:val="00A61477"/>
    <w:rsid w:val="00A631CA"/>
    <w:rsid w:val="00A63206"/>
    <w:rsid w:val="00A636A4"/>
    <w:rsid w:val="00A63784"/>
    <w:rsid w:val="00A64518"/>
    <w:rsid w:val="00A647EC"/>
    <w:rsid w:val="00A64E00"/>
    <w:rsid w:val="00A655E3"/>
    <w:rsid w:val="00A6577D"/>
    <w:rsid w:val="00A658D0"/>
    <w:rsid w:val="00A65942"/>
    <w:rsid w:val="00A65956"/>
    <w:rsid w:val="00A65D5A"/>
    <w:rsid w:val="00A66382"/>
    <w:rsid w:val="00A66D4A"/>
    <w:rsid w:val="00A67534"/>
    <w:rsid w:val="00A702C8"/>
    <w:rsid w:val="00A705C0"/>
    <w:rsid w:val="00A70D14"/>
    <w:rsid w:val="00A71860"/>
    <w:rsid w:val="00A71FEA"/>
    <w:rsid w:val="00A7248D"/>
    <w:rsid w:val="00A73456"/>
    <w:rsid w:val="00A73706"/>
    <w:rsid w:val="00A738B2"/>
    <w:rsid w:val="00A749FE"/>
    <w:rsid w:val="00A74BCA"/>
    <w:rsid w:val="00A74DF5"/>
    <w:rsid w:val="00A75424"/>
    <w:rsid w:val="00A75784"/>
    <w:rsid w:val="00A7603E"/>
    <w:rsid w:val="00A768AD"/>
    <w:rsid w:val="00A76DDD"/>
    <w:rsid w:val="00A774DA"/>
    <w:rsid w:val="00A77FB6"/>
    <w:rsid w:val="00A802AC"/>
    <w:rsid w:val="00A80534"/>
    <w:rsid w:val="00A815C0"/>
    <w:rsid w:val="00A816F3"/>
    <w:rsid w:val="00A81D47"/>
    <w:rsid w:val="00A822FE"/>
    <w:rsid w:val="00A82329"/>
    <w:rsid w:val="00A82470"/>
    <w:rsid w:val="00A82DD3"/>
    <w:rsid w:val="00A83022"/>
    <w:rsid w:val="00A836E8"/>
    <w:rsid w:val="00A83934"/>
    <w:rsid w:val="00A83989"/>
    <w:rsid w:val="00A83A47"/>
    <w:rsid w:val="00A8445B"/>
    <w:rsid w:val="00A84706"/>
    <w:rsid w:val="00A8552F"/>
    <w:rsid w:val="00A855FF"/>
    <w:rsid w:val="00A85C6D"/>
    <w:rsid w:val="00A85F8C"/>
    <w:rsid w:val="00A863C3"/>
    <w:rsid w:val="00A86E0A"/>
    <w:rsid w:val="00A86F2F"/>
    <w:rsid w:val="00A879A2"/>
    <w:rsid w:val="00A90587"/>
    <w:rsid w:val="00A911B3"/>
    <w:rsid w:val="00A915FD"/>
    <w:rsid w:val="00A91F54"/>
    <w:rsid w:val="00A9200E"/>
    <w:rsid w:val="00A92451"/>
    <w:rsid w:val="00A924CC"/>
    <w:rsid w:val="00A92A00"/>
    <w:rsid w:val="00A93180"/>
    <w:rsid w:val="00A9347E"/>
    <w:rsid w:val="00A93610"/>
    <w:rsid w:val="00A93C1F"/>
    <w:rsid w:val="00A93E53"/>
    <w:rsid w:val="00A942B0"/>
    <w:rsid w:val="00A94382"/>
    <w:rsid w:val="00A9443B"/>
    <w:rsid w:val="00A945D4"/>
    <w:rsid w:val="00A94E93"/>
    <w:rsid w:val="00A9517A"/>
    <w:rsid w:val="00A9529C"/>
    <w:rsid w:val="00A95CFE"/>
    <w:rsid w:val="00A95F2F"/>
    <w:rsid w:val="00A95F3A"/>
    <w:rsid w:val="00A9666A"/>
    <w:rsid w:val="00A969FE"/>
    <w:rsid w:val="00A96B9F"/>
    <w:rsid w:val="00A970F4"/>
    <w:rsid w:val="00A97BD1"/>
    <w:rsid w:val="00A97CAD"/>
    <w:rsid w:val="00A97CEE"/>
    <w:rsid w:val="00A97F0D"/>
    <w:rsid w:val="00A97FE9"/>
    <w:rsid w:val="00AA05C2"/>
    <w:rsid w:val="00AA0615"/>
    <w:rsid w:val="00AA1006"/>
    <w:rsid w:val="00AA172C"/>
    <w:rsid w:val="00AA24C6"/>
    <w:rsid w:val="00AA2594"/>
    <w:rsid w:val="00AA29CB"/>
    <w:rsid w:val="00AA2CFF"/>
    <w:rsid w:val="00AA2E37"/>
    <w:rsid w:val="00AA3063"/>
    <w:rsid w:val="00AA3288"/>
    <w:rsid w:val="00AA3F09"/>
    <w:rsid w:val="00AA4A3A"/>
    <w:rsid w:val="00AA4CD3"/>
    <w:rsid w:val="00AA4E1B"/>
    <w:rsid w:val="00AA5279"/>
    <w:rsid w:val="00AA561E"/>
    <w:rsid w:val="00AA5AE7"/>
    <w:rsid w:val="00AA6375"/>
    <w:rsid w:val="00AA653F"/>
    <w:rsid w:val="00AA66B0"/>
    <w:rsid w:val="00AA70B0"/>
    <w:rsid w:val="00AA7172"/>
    <w:rsid w:val="00AA7336"/>
    <w:rsid w:val="00AA798B"/>
    <w:rsid w:val="00AA7F35"/>
    <w:rsid w:val="00AB10E4"/>
    <w:rsid w:val="00AB1A47"/>
    <w:rsid w:val="00AB22FC"/>
    <w:rsid w:val="00AB2656"/>
    <w:rsid w:val="00AB295C"/>
    <w:rsid w:val="00AB3641"/>
    <w:rsid w:val="00AB3F84"/>
    <w:rsid w:val="00AB431C"/>
    <w:rsid w:val="00AB44BE"/>
    <w:rsid w:val="00AB44DE"/>
    <w:rsid w:val="00AB62F0"/>
    <w:rsid w:val="00AB6FF2"/>
    <w:rsid w:val="00AB75E4"/>
    <w:rsid w:val="00AB79B7"/>
    <w:rsid w:val="00AB7EA8"/>
    <w:rsid w:val="00AC07A8"/>
    <w:rsid w:val="00AC0C14"/>
    <w:rsid w:val="00AC12A5"/>
    <w:rsid w:val="00AC169B"/>
    <w:rsid w:val="00AC1E95"/>
    <w:rsid w:val="00AC2212"/>
    <w:rsid w:val="00AC25B1"/>
    <w:rsid w:val="00AC2D74"/>
    <w:rsid w:val="00AC39B6"/>
    <w:rsid w:val="00AC47E8"/>
    <w:rsid w:val="00AC5114"/>
    <w:rsid w:val="00AC6ED4"/>
    <w:rsid w:val="00AC7210"/>
    <w:rsid w:val="00AC75DD"/>
    <w:rsid w:val="00AC7CAA"/>
    <w:rsid w:val="00AC7D7B"/>
    <w:rsid w:val="00AC7DE1"/>
    <w:rsid w:val="00AD007E"/>
    <w:rsid w:val="00AD014D"/>
    <w:rsid w:val="00AD09D0"/>
    <w:rsid w:val="00AD0C7F"/>
    <w:rsid w:val="00AD0CA5"/>
    <w:rsid w:val="00AD0FED"/>
    <w:rsid w:val="00AD157D"/>
    <w:rsid w:val="00AD183F"/>
    <w:rsid w:val="00AD317E"/>
    <w:rsid w:val="00AD3641"/>
    <w:rsid w:val="00AD36D6"/>
    <w:rsid w:val="00AD36F6"/>
    <w:rsid w:val="00AD4175"/>
    <w:rsid w:val="00AD4542"/>
    <w:rsid w:val="00AD47F7"/>
    <w:rsid w:val="00AD491C"/>
    <w:rsid w:val="00AD4D95"/>
    <w:rsid w:val="00AD50FA"/>
    <w:rsid w:val="00AD565F"/>
    <w:rsid w:val="00AD61E0"/>
    <w:rsid w:val="00AD635E"/>
    <w:rsid w:val="00AD63BB"/>
    <w:rsid w:val="00AD682D"/>
    <w:rsid w:val="00AD6D07"/>
    <w:rsid w:val="00AD7B36"/>
    <w:rsid w:val="00AE00BE"/>
    <w:rsid w:val="00AE15C0"/>
    <w:rsid w:val="00AE16D9"/>
    <w:rsid w:val="00AE188B"/>
    <w:rsid w:val="00AE1D06"/>
    <w:rsid w:val="00AE2334"/>
    <w:rsid w:val="00AE233D"/>
    <w:rsid w:val="00AE33BA"/>
    <w:rsid w:val="00AE3844"/>
    <w:rsid w:val="00AE3F2E"/>
    <w:rsid w:val="00AE4250"/>
    <w:rsid w:val="00AE49FB"/>
    <w:rsid w:val="00AE4A0E"/>
    <w:rsid w:val="00AE502A"/>
    <w:rsid w:val="00AE5272"/>
    <w:rsid w:val="00AE59D0"/>
    <w:rsid w:val="00AE5CC0"/>
    <w:rsid w:val="00AE5DDB"/>
    <w:rsid w:val="00AE5E46"/>
    <w:rsid w:val="00AE60F1"/>
    <w:rsid w:val="00AE62B8"/>
    <w:rsid w:val="00AE66FB"/>
    <w:rsid w:val="00AE697A"/>
    <w:rsid w:val="00AE774D"/>
    <w:rsid w:val="00AE7876"/>
    <w:rsid w:val="00AF0121"/>
    <w:rsid w:val="00AF12D3"/>
    <w:rsid w:val="00AF1595"/>
    <w:rsid w:val="00AF168E"/>
    <w:rsid w:val="00AF2707"/>
    <w:rsid w:val="00AF2ADE"/>
    <w:rsid w:val="00AF2E3A"/>
    <w:rsid w:val="00AF2EFE"/>
    <w:rsid w:val="00AF312F"/>
    <w:rsid w:val="00AF345F"/>
    <w:rsid w:val="00AF3EB2"/>
    <w:rsid w:val="00AF433C"/>
    <w:rsid w:val="00AF4A93"/>
    <w:rsid w:val="00AF4DA5"/>
    <w:rsid w:val="00AF4FE6"/>
    <w:rsid w:val="00AF53C3"/>
    <w:rsid w:val="00AF6200"/>
    <w:rsid w:val="00AF6AFE"/>
    <w:rsid w:val="00AF7D17"/>
    <w:rsid w:val="00B006C6"/>
    <w:rsid w:val="00B019C8"/>
    <w:rsid w:val="00B01AA4"/>
    <w:rsid w:val="00B01B6D"/>
    <w:rsid w:val="00B01D0E"/>
    <w:rsid w:val="00B02087"/>
    <w:rsid w:val="00B02670"/>
    <w:rsid w:val="00B02745"/>
    <w:rsid w:val="00B029C7"/>
    <w:rsid w:val="00B02C18"/>
    <w:rsid w:val="00B02C68"/>
    <w:rsid w:val="00B03133"/>
    <w:rsid w:val="00B03280"/>
    <w:rsid w:val="00B04698"/>
    <w:rsid w:val="00B04863"/>
    <w:rsid w:val="00B04B29"/>
    <w:rsid w:val="00B04F87"/>
    <w:rsid w:val="00B04F9B"/>
    <w:rsid w:val="00B051F8"/>
    <w:rsid w:val="00B05369"/>
    <w:rsid w:val="00B053A9"/>
    <w:rsid w:val="00B061DC"/>
    <w:rsid w:val="00B06715"/>
    <w:rsid w:val="00B07876"/>
    <w:rsid w:val="00B07CF9"/>
    <w:rsid w:val="00B1048C"/>
    <w:rsid w:val="00B1055F"/>
    <w:rsid w:val="00B10FCF"/>
    <w:rsid w:val="00B11724"/>
    <w:rsid w:val="00B1262E"/>
    <w:rsid w:val="00B12830"/>
    <w:rsid w:val="00B132CA"/>
    <w:rsid w:val="00B1375A"/>
    <w:rsid w:val="00B13A72"/>
    <w:rsid w:val="00B14559"/>
    <w:rsid w:val="00B14EC0"/>
    <w:rsid w:val="00B1501C"/>
    <w:rsid w:val="00B1504E"/>
    <w:rsid w:val="00B154FB"/>
    <w:rsid w:val="00B15836"/>
    <w:rsid w:val="00B1584F"/>
    <w:rsid w:val="00B15942"/>
    <w:rsid w:val="00B16066"/>
    <w:rsid w:val="00B16A97"/>
    <w:rsid w:val="00B17760"/>
    <w:rsid w:val="00B178B5"/>
    <w:rsid w:val="00B2035D"/>
    <w:rsid w:val="00B20637"/>
    <w:rsid w:val="00B20868"/>
    <w:rsid w:val="00B20B45"/>
    <w:rsid w:val="00B20CB0"/>
    <w:rsid w:val="00B212CB"/>
    <w:rsid w:val="00B213FC"/>
    <w:rsid w:val="00B21D25"/>
    <w:rsid w:val="00B2324C"/>
    <w:rsid w:val="00B23608"/>
    <w:rsid w:val="00B23656"/>
    <w:rsid w:val="00B24B79"/>
    <w:rsid w:val="00B24D64"/>
    <w:rsid w:val="00B255A3"/>
    <w:rsid w:val="00B25D96"/>
    <w:rsid w:val="00B26134"/>
    <w:rsid w:val="00B261EE"/>
    <w:rsid w:val="00B261F9"/>
    <w:rsid w:val="00B2650B"/>
    <w:rsid w:val="00B26A15"/>
    <w:rsid w:val="00B27BFE"/>
    <w:rsid w:val="00B27F81"/>
    <w:rsid w:val="00B3111A"/>
    <w:rsid w:val="00B31299"/>
    <w:rsid w:val="00B317F1"/>
    <w:rsid w:val="00B31AA6"/>
    <w:rsid w:val="00B31CDB"/>
    <w:rsid w:val="00B3274C"/>
    <w:rsid w:val="00B3290F"/>
    <w:rsid w:val="00B33FB4"/>
    <w:rsid w:val="00B34B5B"/>
    <w:rsid w:val="00B3534D"/>
    <w:rsid w:val="00B365C2"/>
    <w:rsid w:val="00B3689F"/>
    <w:rsid w:val="00B369DD"/>
    <w:rsid w:val="00B36C2F"/>
    <w:rsid w:val="00B3783D"/>
    <w:rsid w:val="00B37CBA"/>
    <w:rsid w:val="00B402C1"/>
    <w:rsid w:val="00B404B2"/>
    <w:rsid w:val="00B40CF7"/>
    <w:rsid w:val="00B412B5"/>
    <w:rsid w:val="00B41456"/>
    <w:rsid w:val="00B41984"/>
    <w:rsid w:val="00B419B3"/>
    <w:rsid w:val="00B41A83"/>
    <w:rsid w:val="00B434F5"/>
    <w:rsid w:val="00B43B81"/>
    <w:rsid w:val="00B44208"/>
    <w:rsid w:val="00B44B1A"/>
    <w:rsid w:val="00B44D64"/>
    <w:rsid w:val="00B44EAD"/>
    <w:rsid w:val="00B44F9E"/>
    <w:rsid w:val="00B45A2F"/>
    <w:rsid w:val="00B45C0A"/>
    <w:rsid w:val="00B45C19"/>
    <w:rsid w:val="00B46794"/>
    <w:rsid w:val="00B46DE7"/>
    <w:rsid w:val="00B47685"/>
    <w:rsid w:val="00B50688"/>
    <w:rsid w:val="00B50AED"/>
    <w:rsid w:val="00B519A0"/>
    <w:rsid w:val="00B5257D"/>
    <w:rsid w:val="00B52627"/>
    <w:rsid w:val="00B52A03"/>
    <w:rsid w:val="00B52B3D"/>
    <w:rsid w:val="00B52BA3"/>
    <w:rsid w:val="00B52BB1"/>
    <w:rsid w:val="00B530B4"/>
    <w:rsid w:val="00B534FC"/>
    <w:rsid w:val="00B539D8"/>
    <w:rsid w:val="00B53C7F"/>
    <w:rsid w:val="00B53DE2"/>
    <w:rsid w:val="00B5441D"/>
    <w:rsid w:val="00B54A04"/>
    <w:rsid w:val="00B54ED5"/>
    <w:rsid w:val="00B550D9"/>
    <w:rsid w:val="00B55282"/>
    <w:rsid w:val="00B555CC"/>
    <w:rsid w:val="00B55BF2"/>
    <w:rsid w:val="00B561EB"/>
    <w:rsid w:val="00B565A6"/>
    <w:rsid w:val="00B56FCF"/>
    <w:rsid w:val="00B60F08"/>
    <w:rsid w:val="00B61796"/>
    <w:rsid w:val="00B61957"/>
    <w:rsid w:val="00B61AB3"/>
    <w:rsid w:val="00B62BA4"/>
    <w:rsid w:val="00B62C1E"/>
    <w:rsid w:val="00B63AF1"/>
    <w:rsid w:val="00B63E03"/>
    <w:rsid w:val="00B63FDC"/>
    <w:rsid w:val="00B6403F"/>
    <w:rsid w:val="00B64313"/>
    <w:rsid w:val="00B64C1C"/>
    <w:rsid w:val="00B65236"/>
    <w:rsid w:val="00B65437"/>
    <w:rsid w:val="00B65E5C"/>
    <w:rsid w:val="00B65F67"/>
    <w:rsid w:val="00B65FB1"/>
    <w:rsid w:val="00B66318"/>
    <w:rsid w:val="00B66743"/>
    <w:rsid w:val="00B66988"/>
    <w:rsid w:val="00B66B7F"/>
    <w:rsid w:val="00B66DE5"/>
    <w:rsid w:val="00B6703F"/>
    <w:rsid w:val="00B70926"/>
    <w:rsid w:val="00B71E50"/>
    <w:rsid w:val="00B722F7"/>
    <w:rsid w:val="00B72447"/>
    <w:rsid w:val="00B72BEA"/>
    <w:rsid w:val="00B72E40"/>
    <w:rsid w:val="00B73152"/>
    <w:rsid w:val="00B738DD"/>
    <w:rsid w:val="00B73B12"/>
    <w:rsid w:val="00B73F85"/>
    <w:rsid w:val="00B74836"/>
    <w:rsid w:val="00B75B51"/>
    <w:rsid w:val="00B75E04"/>
    <w:rsid w:val="00B75ECF"/>
    <w:rsid w:val="00B765A1"/>
    <w:rsid w:val="00B76DEE"/>
    <w:rsid w:val="00B808E5"/>
    <w:rsid w:val="00B80BE7"/>
    <w:rsid w:val="00B8155D"/>
    <w:rsid w:val="00B81637"/>
    <w:rsid w:val="00B81794"/>
    <w:rsid w:val="00B82D14"/>
    <w:rsid w:val="00B82FD7"/>
    <w:rsid w:val="00B83189"/>
    <w:rsid w:val="00B83672"/>
    <w:rsid w:val="00B839F0"/>
    <w:rsid w:val="00B83F11"/>
    <w:rsid w:val="00B8411A"/>
    <w:rsid w:val="00B84DFD"/>
    <w:rsid w:val="00B85D7A"/>
    <w:rsid w:val="00B85E2E"/>
    <w:rsid w:val="00B8651A"/>
    <w:rsid w:val="00B865E1"/>
    <w:rsid w:val="00B867E3"/>
    <w:rsid w:val="00B86F2B"/>
    <w:rsid w:val="00B8716A"/>
    <w:rsid w:val="00B878A5"/>
    <w:rsid w:val="00B905C0"/>
    <w:rsid w:val="00B916C2"/>
    <w:rsid w:val="00B91E18"/>
    <w:rsid w:val="00B92584"/>
    <w:rsid w:val="00B9365D"/>
    <w:rsid w:val="00B9403B"/>
    <w:rsid w:val="00B94B2F"/>
    <w:rsid w:val="00B952FF"/>
    <w:rsid w:val="00B95B7A"/>
    <w:rsid w:val="00B95E4F"/>
    <w:rsid w:val="00B9623D"/>
    <w:rsid w:val="00B9627D"/>
    <w:rsid w:val="00B96468"/>
    <w:rsid w:val="00B96927"/>
    <w:rsid w:val="00B96C2B"/>
    <w:rsid w:val="00B96CCF"/>
    <w:rsid w:val="00B97167"/>
    <w:rsid w:val="00B9772C"/>
    <w:rsid w:val="00B97D76"/>
    <w:rsid w:val="00BA011B"/>
    <w:rsid w:val="00BA013F"/>
    <w:rsid w:val="00BA0157"/>
    <w:rsid w:val="00BA06A3"/>
    <w:rsid w:val="00BA08E0"/>
    <w:rsid w:val="00BA0C0C"/>
    <w:rsid w:val="00BA0E5B"/>
    <w:rsid w:val="00BA0F8E"/>
    <w:rsid w:val="00BA1453"/>
    <w:rsid w:val="00BA1618"/>
    <w:rsid w:val="00BA1F74"/>
    <w:rsid w:val="00BA2436"/>
    <w:rsid w:val="00BA2C77"/>
    <w:rsid w:val="00BA34C6"/>
    <w:rsid w:val="00BA4378"/>
    <w:rsid w:val="00BA475C"/>
    <w:rsid w:val="00BA4C4E"/>
    <w:rsid w:val="00BA4E7E"/>
    <w:rsid w:val="00BA52F6"/>
    <w:rsid w:val="00BA56D3"/>
    <w:rsid w:val="00BA7CEC"/>
    <w:rsid w:val="00BA7F24"/>
    <w:rsid w:val="00BB06BD"/>
    <w:rsid w:val="00BB0905"/>
    <w:rsid w:val="00BB0BB6"/>
    <w:rsid w:val="00BB0FAC"/>
    <w:rsid w:val="00BB0FD6"/>
    <w:rsid w:val="00BB1169"/>
    <w:rsid w:val="00BB1343"/>
    <w:rsid w:val="00BB16FE"/>
    <w:rsid w:val="00BB1D02"/>
    <w:rsid w:val="00BB276C"/>
    <w:rsid w:val="00BB2959"/>
    <w:rsid w:val="00BB2AA1"/>
    <w:rsid w:val="00BB2C57"/>
    <w:rsid w:val="00BB3A33"/>
    <w:rsid w:val="00BB3C7F"/>
    <w:rsid w:val="00BB3DE8"/>
    <w:rsid w:val="00BB451B"/>
    <w:rsid w:val="00BB472B"/>
    <w:rsid w:val="00BB533A"/>
    <w:rsid w:val="00BB5442"/>
    <w:rsid w:val="00BB586B"/>
    <w:rsid w:val="00BB58D6"/>
    <w:rsid w:val="00BB5DF7"/>
    <w:rsid w:val="00BB6C80"/>
    <w:rsid w:val="00BB7F28"/>
    <w:rsid w:val="00BC03D7"/>
    <w:rsid w:val="00BC0601"/>
    <w:rsid w:val="00BC091A"/>
    <w:rsid w:val="00BC2069"/>
    <w:rsid w:val="00BC209B"/>
    <w:rsid w:val="00BC2358"/>
    <w:rsid w:val="00BC26FB"/>
    <w:rsid w:val="00BC2798"/>
    <w:rsid w:val="00BC2BC4"/>
    <w:rsid w:val="00BC32CB"/>
    <w:rsid w:val="00BC4DC6"/>
    <w:rsid w:val="00BC516A"/>
    <w:rsid w:val="00BC52B4"/>
    <w:rsid w:val="00BC52CA"/>
    <w:rsid w:val="00BC57AF"/>
    <w:rsid w:val="00BC581C"/>
    <w:rsid w:val="00BC5D22"/>
    <w:rsid w:val="00BC60B8"/>
    <w:rsid w:val="00BC60C7"/>
    <w:rsid w:val="00BC6178"/>
    <w:rsid w:val="00BC744A"/>
    <w:rsid w:val="00BC7881"/>
    <w:rsid w:val="00BC79E7"/>
    <w:rsid w:val="00BD107A"/>
    <w:rsid w:val="00BD13E5"/>
    <w:rsid w:val="00BD1A6C"/>
    <w:rsid w:val="00BD2051"/>
    <w:rsid w:val="00BD2113"/>
    <w:rsid w:val="00BD23E0"/>
    <w:rsid w:val="00BD2975"/>
    <w:rsid w:val="00BD2BAC"/>
    <w:rsid w:val="00BD429E"/>
    <w:rsid w:val="00BD46A7"/>
    <w:rsid w:val="00BD50B1"/>
    <w:rsid w:val="00BD5479"/>
    <w:rsid w:val="00BD5BAF"/>
    <w:rsid w:val="00BD5D58"/>
    <w:rsid w:val="00BD62B7"/>
    <w:rsid w:val="00BD664D"/>
    <w:rsid w:val="00BD6FDF"/>
    <w:rsid w:val="00BD7ED3"/>
    <w:rsid w:val="00BE03C8"/>
    <w:rsid w:val="00BE0F6E"/>
    <w:rsid w:val="00BE123F"/>
    <w:rsid w:val="00BE13A5"/>
    <w:rsid w:val="00BE1E95"/>
    <w:rsid w:val="00BE215D"/>
    <w:rsid w:val="00BE34C0"/>
    <w:rsid w:val="00BE39C7"/>
    <w:rsid w:val="00BE403B"/>
    <w:rsid w:val="00BE4CB7"/>
    <w:rsid w:val="00BE5A02"/>
    <w:rsid w:val="00BE637D"/>
    <w:rsid w:val="00BE68EB"/>
    <w:rsid w:val="00BE6BB3"/>
    <w:rsid w:val="00BE6E5A"/>
    <w:rsid w:val="00BE7521"/>
    <w:rsid w:val="00BE7F0A"/>
    <w:rsid w:val="00BF013F"/>
    <w:rsid w:val="00BF027C"/>
    <w:rsid w:val="00BF0293"/>
    <w:rsid w:val="00BF0A88"/>
    <w:rsid w:val="00BF1363"/>
    <w:rsid w:val="00BF1640"/>
    <w:rsid w:val="00BF1C73"/>
    <w:rsid w:val="00BF1D29"/>
    <w:rsid w:val="00BF1D65"/>
    <w:rsid w:val="00BF1EE3"/>
    <w:rsid w:val="00BF22CE"/>
    <w:rsid w:val="00BF2453"/>
    <w:rsid w:val="00BF2703"/>
    <w:rsid w:val="00BF341A"/>
    <w:rsid w:val="00BF37E2"/>
    <w:rsid w:val="00BF3C8A"/>
    <w:rsid w:val="00BF3D43"/>
    <w:rsid w:val="00BF3FB1"/>
    <w:rsid w:val="00BF409D"/>
    <w:rsid w:val="00BF4B84"/>
    <w:rsid w:val="00BF5C5D"/>
    <w:rsid w:val="00BF679B"/>
    <w:rsid w:val="00BF6F45"/>
    <w:rsid w:val="00BF714A"/>
    <w:rsid w:val="00BF72D6"/>
    <w:rsid w:val="00BF7681"/>
    <w:rsid w:val="00BF76FA"/>
    <w:rsid w:val="00BF7B67"/>
    <w:rsid w:val="00C000AC"/>
    <w:rsid w:val="00C001C0"/>
    <w:rsid w:val="00C01052"/>
    <w:rsid w:val="00C010F9"/>
    <w:rsid w:val="00C01291"/>
    <w:rsid w:val="00C0141A"/>
    <w:rsid w:val="00C01552"/>
    <w:rsid w:val="00C01922"/>
    <w:rsid w:val="00C0342E"/>
    <w:rsid w:val="00C037BC"/>
    <w:rsid w:val="00C03EE2"/>
    <w:rsid w:val="00C03FC7"/>
    <w:rsid w:val="00C043DE"/>
    <w:rsid w:val="00C049CB"/>
    <w:rsid w:val="00C050B9"/>
    <w:rsid w:val="00C05B8A"/>
    <w:rsid w:val="00C05DD4"/>
    <w:rsid w:val="00C05F3E"/>
    <w:rsid w:val="00C063DA"/>
    <w:rsid w:val="00C06601"/>
    <w:rsid w:val="00C07114"/>
    <w:rsid w:val="00C07D3B"/>
    <w:rsid w:val="00C100CA"/>
    <w:rsid w:val="00C10601"/>
    <w:rsid w:val="00C10894"/>
    <w:rsid w:val="00C10CE0"/>
    <w:rsid w:val="00C11D70"/>
    <w:rsid w:val="00C11E16"/>
    <w:rsid w:val="00C11F62"/>
    <w:rsid w:val="00C121C2"/>
    <w:rsid w:val="00C1258C"/>
    <w:rsid w:val="00C130BD"/>
    <w:rsid w:val="00C133A1"/>
    <w:rsid w:val="00C1354C"/>
    <w:rsid w:val="00C13664"/>
    <w:rsid w:val="00C137C7"/>
    <w:rsid w:val="00C13BC1"/>
    <w:rsid w:val="00C13E58"/>
    <w:rsid w:val="00C142CE"/>
    <w:rsid w:val="00C14AED"/>
    <w:rsid w:val="00C15879"/>
    <w:rsid w:val="00C15F2E"/>
    <w:rsid w:val="00C164FE"/>
    <w:rsid w:val="00C16726"/>
    <w:rsid w:val="00C16808"/>
    <w:rsid w:val="00C168CF"/>
    <w:rsid w:val="00C16C85"/>
    <w:rsid w:val="00C17012"/>
    <w:rsid w:val="00C178E4"/>
    <w:rsid w:val="00C17E58"/>
    <w:rsid w:val="00C20982"/>
    <w:rsid w:val="00C20BBC"/>
    <w:rsid w:val="00C20CE5"/>
    <w:rsid w:val="00C21171"/>
    <w:rsid w:val="00C21D74"/>
    <w:rsid w:val="00C227A9"/>
    <w:rsid w:val="00C22898"/>
    <w:rsid w:val="00C23495"/>
    <w:rsid w:val="00C2380E"/>
    <w:rsid w:val="00C23ECA"/>
    <w:rsid w:val="00C249DF"/>
    <w:rsid w:val="00C24BCC"/>
    <w:rsid w:val="00C25073"/>
    <w:rsid w:val="00C256FB"/>
    <w:rsid w:val="00C2620C"/>
    <w:rsid w:val="00C2626F"/>
    <w:rsid w:val="00C2699B"/>
    <w:rsid w:val="00C26BF1"/>
    <w:rsid w:val="00C27932"/>
    <w:rsid w:val="00C27A8D"/>
    <w:rsid w:val="00C30195"/>
    <w:rsid w:val="00C30200"/>
    <w:rsid w:val="00C30CA8"/>
    <w:rsid w:val="00C310CB"/>
    <w:rsid w:val="00C312E6"/>
    <w:rsid w:val="00C316ED"/>
    <w:rsid w:val="00C319F5"/>
    <w:rsid w:val="00C31F35"/>
    <w:rsid w:val="00C3256F"/>
    <w:rsid w:val="00C329CB"/>
    <w:rsid w:val="00C331CF"/>
    <w:rsid w:val="00C3333B"/>
    <w:rsid w:val="00C3393B"/>
    <w:rsid w:val="00C3453B"/>
    <w:rsid w:val="00C352AC"/>
    <w:rsid w:val="00C368A2"/>
    <w:rsid w:val="00C36A10"/>
    <w:rsid w:val="00C36FFA"/>
    <w:rsid w:val="00C37134"/>
    <w:rsid w:val="00C37867"/>
    <w:rsid w:val="00C37B67"/>
    <w:rsid w:val="00C409F3"/>
    <w:rsid w:val="00C41428"/>
    <w:rsid w:val="00C422F7"/>
    <w:rsid w:val="00C42588"/>
    <w:rsid w:val="00C43646"/>
    <w:rsid w:val="00C438EE"/>
    <w:rsid w:val="00C44390"/>
    <w:rsid w:val="00C44B81"/>
    <w:rsid w:val="00C44F53"/>
    <w:rsid w:val="00C457E9"/>
    <w:rsid w:val="00C45816"/>
    <w:rsid w:val="00C45837"/>
    <w:rsid w:val="00C458FA"/>
    <w:rsid w:val="00C45F57"/>
    <w:rsid w:val="00C4692A"/>
    <w:rsid w:val="00C472BA"/>
    <w:rsid w:val="00C47AF8"/>
    <w:rsid w:val="00C47B5D"/>
    <w:rsid w:val="00C47C29"/>
    <w:rsid w:val="00C505A3"/>
    <w:rsid w:val="00C509F3"/>
    <w:rsid w:val="00C50E08"/>
    <w:rsid w:val="00C5130E"/>
    <w:rsid w:val="00C51A30"/>
    <w:rsid w:val="00C51B55"/>
    <w:rsid w:val="00C53699"/>
    <w:rsid w:val="00C5395C"/>
    <w:rsid w:val="00C53DAB"/>
    <w:rsid w:val="00C54841"/>
    <w:rsid w:val="00C549FA"/>
    <w:rsid w:val="00C55290"/>
    <w:rsid w:val="00C552D1"/>
    <w:rsid w:val="00C559D2"/>
    <w:rsid w:val="00C55F7B"/>
    <w:rsid w:val="00C56439"/>
    <w:rsid w:val="00C5667B"/>
    <w:rsid w:val="00C56A54"/>
    <w:rsid w:val="00C56DC5"/>
    <w:rsid w:val="00C5715E"/>
    <w:rsid w:val="00C5722E"/>
    <w:rsid w:val="00C57899"/>
    <w:rsid w:val="00C57D64"/>
    <w:rsid w:val="00C57E80"/>
    <w:rsid w:val="00C60E75"/>
    <w:rsid w:val="00C60F16"/>
    <w:rsid w:val="00C610C7"/>
    <w:rsid w:val="00C628F5"/>
    <w:rsid w:val="00C62B4C"/>
    <w:rsid w:val="00C62ECC"/>
    <w:rsid w:val="00C63AA5"/>
    <w:rsid w:val="00C64D9B"/>
    <w:rsid w:val="00C64E20"/>
    <w:rsid w:val="00C65045"/>
    <w:rsid w:val="00C653FD"/>
    <w:rsid w:val="00C6701B"/>
    <w:rsid w:val="00C6769B"/>
    <w:rsid w:val="00C714D5"/>
    <w:rsid w:val="00C71719"/>
    <w:rsid w:val="00C71C76"/>
    <w:rsid w:val="00C7284D"/>
    <w:rsid w:val="00C72C71"/>
    <w:rsid w:val="00C7388F"/>
    <w:rsid w:val="00C741A8"/>
    <w:rsid w:val="00C748E4"/>
    <w:rsid w:val="00C74A79"/>
    <w:rsid w:val="00C75B9F"/>
    <w:rsid w:val="00C76324"/>
    <w:rsid w:val="00C76B9D"/>
    <w:rsid w:val="00C77658"/>
    <w:rsid w:val="00C77F23"/>
    <w:rsid w:val="00C80052"/>
    <w:rsid w:val="00C801A9"/>
    <w:rsid w:val="00C81831"/>
    <w:rsid w:val="00C8270B"/>
    <w:rsid w:val="00C82895"/>
    <w:rsid w:val="00C82FF6"/>
    <w:rsid w:val="00C83420"/>
    <w:rsid w:val="00C834E3"/>
    <w:rsid w:val="00C83D89"/>
    <w:rsid w:val="00C83F6B"/>
    <w:rsid w:val="00C8571D"/>
    <w:rsid w:val="00C8677B"/>
    <w:rsid w:val="00C867B3"/>
    <w:rsid w:val="00C86A6D"/>
    <w:rsid w:val="00C86B8C"/>
    <w:rsid w:val="00C86BC5"/>
    <w:rsid w:val="00C87611"/>
    <w:rsid w:val="00C8788F"/>
    <w:rsid w:val="00C87C7A"/>
    <w:rsid w:val="00C90D47"/>
    <w:rsid w:val="00C90DC8"/>
    <w:rsid w:val="00C911E6"/>
    <w:rsid w:val="00C915E0"/>
    <w:rsid w:val="00C91E4E"/>
    <w:rsid w:val="00C91FB9"/>
    <w:rsid w:val="00C923EB"/>
    <w:rsid w:val="00C92506"/>
    <w:rsid w:val="00C926D7"/>
    <w:rsid w:val="00C92A8A"/>
    <w:rsid w:val="00C9337C"/>
    <w:rsid w:val="00C93C9E"/>
    <w:rsid w:val="00C9417D"/>
    <w:rsid w:val="00C9540B"/>
    <w:rsid w:val="00C95AD7"/>
    <w:rsid w:val="00C95C97"/>
    <w:rsid w:val="00C95CD3"/>
    <w:rsid w:val="00C961FC"/>
    <w:rsid w:val="00C96375"/>
    <w:rsid w:val="00C96616"/>
    <w:rsid w:val="00C9689A"/>
    <w:rsid w:val="00C96C0C"/>
    <w:rsid w:val="00C96CD2"/>
    <w:rsid w:val="00C973DF"/>
    <w:rsid w:val="00C97C07"/>
    <w:rsid w:val="00CA0AEB"/>
    <w:rsid w:val="00CA1061"/>
    <w:rsid w:val="00CA1383"/>
    <w:rsid w:val="00CA1C6A"/>
    <w:rsid w:val="00CA21E0"/>
    <w:rsid w:val="00CA2B19"/>
    <w:rsid w:val="00CA2BA8"/>
    <w:rsid w:val="00CA2C4C"/>
    <w:rsid w:val="00CA3662"/>
    <w:rsid w:val="00CA3993"/>
    <w:rsid w:val="00CA4370"/>
    <w:rsid w:val="00CA4CE3"/>
    <w:rsid w:val="00CA4ED9"/>
    <w:rsid w:val="00CA5122"/>
    <w:rsid w:val="00CA54ED"/>
    <w:rsid w:val="00CA5A99"/>
    <w:rsid w:val="00CA60A9"/>
    <w:rsid w:val="00CA6A44"/>
    <w:rsid w:val="00CA6BDA"/>
    <w:rsid w:val="00CA7BF0"/>
    <w:rsid w:val="00CB0AD6"/>
    <w:rsid w:val="00CB12B1"/>
    <w:rsid w:val="00CB15B5"/>
    <w:rsid w:val="00CB2128"/>
    <w:rsid w:val="00CB2640"/>
    <w:rsid w:val="00CB26A4"/>
    <w:rsid w:val="00CB31FF"/>
    <w:rsid w:val="00CB3419"/>
    <w:rsid w:val="00CB3424"/>
    <w:rsid w:val="00CB35F1"/>
    <w:rsid w:val="00CB368B"/>
    <w:rsid w:val="00CB36F7"/>
    <w:rsid w:val="00CB3A24"/>
    <w:rsid w:val="00CB3AA8"/>
    <w:rsid w:val="00CB3DD7"/>
    <w:rsid w:val="00CB3F9B"/>
    <w:rsid w:val="00CB4054"/>
    <w:rsid w:val="00CB41AC"/>
    <w:rsid w:val="00CB4F2A"/>
    <w:rsid w:val="00CB4FFD"/>
    <w:rsid w:val="00CB618D"/>
    <w:rsid w:val="00CB6301"/>
    <w:rsid w:val="00CB6599"/>
    <w:rsid w:val="00CB6F7D"/>
    <w:rsid w:val="00CB7B68"/>
    <w:rsid w:val="00CB7C83"/>
    <w:rsid w:val="00CB7CAB"/>
    <w:rsid w:val="00CC001A"/>
    <w:rsid w:val="00CC013D"/>
    <w:rsid w:val="00CC0698"/>
    <w:rsid w:val="00CC1DBD"/>
    <w:rsid w:val="00CC2B20"/>
    <w:rsid w:val="00CC2B6C"/>
    <w:rsid w:val="00CC2BD3"/>
    <w:rsid w:val="00CC2DEC"/>
    <w:rsid w:val="00CC2EF4"/>
    <w:rsid w:val="00CC3254"/>
    <w:rsid w:val="00CC35FB"/>
    <w:rsid w:val="00CC4479"/>
    <w:rsid w:val="00CC486B"/>
    <w:rsid w:val="00CC4D5A"/>
    <w:rsid w:val="00CC5D40"/>
    <w:rsid w:val="00CC5D7E"/>
    <w:rsid w:val="00CC5D81"/>
    <w:rsid w:val="00CC5FDB"/>
    <w:rsid w:val="00CC708C"/>
    <w:rsid w:val="00CC72DD"/>
    <w:rsid w:val="00CC7591"/>
    <w:rsid w:val="00CC7AD2"/>
    <w:rsid w:val="00CD0054"/>
    <w:rsid w:val="00CD072C"/>
    <w:rsid w:val="00CD1818"/>
    <w:rsid w:val="00CD2423"/>
    <w:rsid w:val="00CD2534"/>
    <w:rsid w:val="00CD26E8"/>
    <w:rsid w:val="00CD2EEB"/>
    <w:rsid w:val="00CD33A5"/>
    <w:rsid w:val="00CD3D36"/>
    <w:rsid w:val="00CD43CD"/>
    <w:rsid w:val="00CD46A1"/>
    <w:rsid w:val="00CD4C15"/>
    <w:rsid w:val="00CD5334"/>
    <w:rsid w:val="00CD5D4B"/>
    <w:rsid w:val="00CD6BEB"/>
    <w:rsid w:val="00CD746F"/>
    <w:rsid w:val="00CD74C5"/>
    <w:rsid w:val="00CE0965"/>
    <w:rsid w:val="00CE0EA8"/>
    <w:rsid w:val="00CE10A8"/>
    <w:rsid w:val="00CE11E0"/>
    <w:rsid w:val="00CE17D5"/>
    <w:rsid w:val="00CE1E38"/>
    <w:rsid w:val="00CE224D"/>
    <w:rsid w:val="00CE2FC3"/>
    <w:rsid w:val="00CE369B"/>
    <w:rsid w:val="00CE3F06"/>
    <w:rsid w:val="00CE3F9C"/>
    <w:rsid w:val="00CE44CC"/>
    <w:rsid w:val="00CE4B87"/>
    <w:rsid w:val="00CE55C5"/>
    <w:rsid w:val="00CE5E35"/>
    <w:rsid w:val="00CE6231"/>
    <w:rsid w:val="00CE6345"/>
    <w:rsid w:val="00CE682A"/>
    <w:rsid w:val="00CE6A5B"/>
    <w:rsid w:val="00CE6B91"/>
    <w:rsid w:val="00CE7620"/>
    <w:rsid w:val="00CE76B5"/>
    <w:rsid w:val="00CE791F"/>
    <w:rsid w:val="00CF05FB"/>
    <w:rsid w:val="00CF092E"/>
    <w:rsid w:val="00CF16A8"/>
    <w:rsid w:val="00CF1F9F"/>
    <w:rsid w:val="00CF25A3"/>
    <w:rsid w:val="00CF2903"/>
    <w:rsid w:val="00CF379D"/>
    <w:rsid w:val="00CF37AE"/>
    <w:rsid w:val="00CF412B"/>
    <w:rsid w:val="00CF4697"/>
    <w:rsid w:val="00CF4BC7"/>
    <w:rsid w:val="00CF5BA4"/>
    <w:rsid w:val="00CF5E5C"/>
    <w:rsid w:val="00CF62C6"/>
    <w:rsid w:val="00CF6D2F"/>
    <w:rsid w:val="00CF6D78"/>
    <w:rsid w:val="00CF6FCB"/>
    <w:rsid w:val="00CF73AC"/>
    <w:rsid w:val="00CF7610"/>
    <w:rsid w:val="00CF78A7"/>
    <w:rsid w:val="00D00928"/>
    <w:rsid w:val="00D00EF8"/>
    <w:rsid w:val="00D01432"/>
    <w:rsid w:val="00D02286"/>
    <w:rsid w:val="00D02969"/>
    <w:rsid w:val="00D02F2C"/>
    <w:rsid w:val="00D02F8E"/>
    <w:rsid w:val="00D031F9"/>
    <w:rsid w:val="00D03759"/>
    <w:rsid w:val="00D04731"/>
    <w:rsid w:val="00D048EB"/>
    <w:rsid w:val="00D04917"/>
    <w:rsid w:val="00D04E0D"/>
    <w:rsid w:val="00D055D2"/>
    <w:rsid w:val="00D066A1"/>
    <w:rsid w:val="00D0768E"/>
    <w:rsid w:val="00D07A41"/>
    <w:rsid w:val="00D100C0"/>
    <w:rsid w:val="00D104A8"/>
    <w:rsid w:val="00D1057F"/>
    <w:rsid w:val="00D10595"/>
    <w:rsid w:val="00D10932"/>
    <w:rsid w:val="00D11864"/>
    <w:rsid w:val="00D11B9B"/>
    <w:rsid w:val="00D1219C"/>
    <w:rsid w:val="00D1264A"/>
    <w:rsid w:val="00D12A8B"/>
    <w:rsid w:val="00D12C1F"/>
    <w:rsid w:val="00D13DD9"/>
    <w:rsid w:val="00D14837"/>
    <w:rsid w:val="00D1506F"/>
    <w:rsid w:val="00D152C3"/>
    <w:rsid w:val="00D15C8E"/>
    <w:rsid w:val="00D15DA8"/>
    <w:rsid w:val="00D15DE2"/>
    <w:rsid w:val="00D1601C"/>
    <w:rsid w:val="00D166D5"/>
    <w:rsid w:val="00D1693D"/>
    <w:rsid w:val="00D17939"/>
    <w:rsid w:val="00D17AEE"/>
    <w:rsid w:val="00D20AEF"/>
    <w:rsid w:val="00D21084"/>
    <w:rsid w:val="00D2289A"/>
    <w:rsid w:val="00D22AA7"/>
    <w:rsid w:val="00D22DDC"/>
    <w:rsid w:val="00D22E40"/>
    <w:rsid w:val="00D22FB6"/>
    <w:rsid w:val="00D251D9"/>
    <w:rsid w:val="00D258D6"/>
    <w:rsid w:val="00D25CC9"/>
    <w:rsid w:val="00D25E8C"/>
    <w:rsid w:val="00D25EED"/>
    <w:rsid w:val="00D265BA"/>
    <w:rsid w:val="00D26C48"/>
    <w:rsid w:val="00D26C7D"/>
    <w:rsid w:val="00D27167"/>
    <w:rsid w:val="00D27688"/>
    <w:rsid w:val="00D27B2A"/>
    <w:rsid w:val="00D27D52"/>
    <w:rsid w:val="00D3033D"/>
    <w:rsid w:val="00D309C0"/>
    <w:rsid w:val="00D31C3B"/>
    <w:rsid w:val="00D31E6D"/>
    <w:rsid w:val="00D32F73"/>
    <w:rsid w:val="00D3336E"/>
    <w:rsid w:val="00D3349A"/>
    <w:rsid w:val="00D34DB0"/>
    <w:rsid w:val="00D353D6"/>
    <w:rsid w:val="00D358FC"/>
    <w:rsid w:val="00D35D05"/>
    <w:rsid w:val="00D363B0"/>
    <w:rsid w:val="00D36AE0"/>
    <w:rsid w:val="00D36BA6"/>
    <w:rsid w:val="00D36DDD"/>
    <w:rsid w:val="00D37A71"/>
    <w:rsid w:val="00D37C24"/>
    <w:rsid w:val="00D40772"/>
    <w:rsid w:val="00D40806"/>
    <w:rsid w:val="00D40824"/>
    <w:rsid w:val="00D40924"/>
    <w:rsid w:val="00D40EBD"/>
    <w:rsid w:val="00D41143"/>
    <w:rsid w:val="00D42451"/>
    <w:rsid w:val="00D426DB"/>
    <w:rsid w:val="00D42AD4"/>
    <w:rsid w:val="00D42D03"/>
    <w:rsid w:val="00D42FEF"/>
    <w:rsid w:val="00D436BC"/>
    <w:rsid w:val="00D43C87"/>
    <w:rsid w:val="00D43D26"/>
    <w:rsid w:val="00D4420A"/>
    <w:rsid w:val="00D44656"/>
    <w:rsid w:val="00D44B36"/>
    <w:rsid w:val="00D459B8"/>
    <w:rsid w:val="00D45A0F"/>
    <w:rsid w:val="00D464CA"/>
    <w:rsid w:val="00D467C3"/>
    <w:rsid w:val="00D468E3"/>
    <w:rsid w:val="00D4724B"/>
    <w:rsid w:val="00D476C6"/>
    <w:rsid w:val="00D4780C"/>
    <w:rsid w:val="00D479E8"/>
    <w:rsid w:val="00D47DDE"/>
    <w:rsid w:val="00D47F9A"/>
    <w:rsid w:val="00D5111B"/>
    <w:rsid w:val="00D51F54"/>
    <w:rsid w:val="00D522B6"/>
    <w:rsid w:val="00D52546"/>
    <w:rsid w:val="00D52A3E"/>
    <w:rsid w:val="00D52F70"/>
    <w:rsid w:val="00D5318E"/>
    <w:rsid w:val="00D5396F"/>
    <w:rsid w:val="00D53BBF"/>
    <w:rsid w:val="00D540E9"/>
    <w:rsid w:val="00D54DBB"/>
    <w:rsid w:val="00D54F1D"/>
    <w:rsid w:val="00D5503B"/>
    <w:rsid w:val="00D55477"/>
    <w:rsid w:val="00D55B0F"/>
    <w:rsid w:val="00D55E11"/>
    <w:rsid w:val="00D55EA8"/>
    <w:rsid w:val="00D5748D"/>
    <w:rsid w:val="00D57834"/>
    <w:rsid w:val="00D57882"/>
    <w:rsid w:val="00D57D8C"/>
    <w:rsid w:val="00D57EB9"/>
    <w:rsid w:val="00D60CAF"/>
    <w:rsid w:val="00D60CC8"/>
    <w:rsid w:val="00D618D7"/>
    <w:rsid w:val="00D61BFB"/>
    <w:rsid w:val="00D62882"/>
    <w:rsid w:val="00D62D1F"/>
    <w:rsid w:val="00D63914"/>
    <w:rsid w:val="00D64024"/>
    <w:rsid w:val="00D64125"/>
    <w:rsid w:val="00D6457A"/>
    <w:rsid w:val="00D64722"/>
    <w:rsid w:val="00D65062"/>
    <w:rsid w:val="00D653B8"/>
    <w:rsid w:val="00D6595E"/>
    <w:rsid w:val="00D65CD6"/>
    <w:rsid w:val="00D664E0"/>
    <w:rsid w:val="00D66603"/>
    <w:rsid w:val="00D6720F"/>
    <w:rsid w:val="00D67A3D"/>
    <w:rsid w:val="00D67C36"/>
    <w:rsid w:val="00D7239A"/>
    <w:rsid w:val="00D72C8D"/>
    <w:rsid w:val="00D7320A"/>
    <w:rsid w:val="00D73C39"/>
    <w:rsid w:val="00D744F6"/>
    <w:rsid w:val="00D74852"/>
    <w:rsid w:val="00D74D65"/>
    <w:rsid w:val="00D74EF8"/>
    <w:rsid w:val="00D755D7"/>
    <w:rsid w:val="00D764C1"/>
    <w:rsid w:val="00D771B7"/>
    <w:rsid w:val="00D7723C"/>
    <w:rsid w:val="00D772A1"/>
    <w:rsid w:val="00D7731B"/>
    <w:rsid w:val="00D77476"/>
    <w:rsid w:val="00D77E09"/>
    <w:rsid w:val="00D808AF"/>
    <w:rsid w:val="00D80CEA"/>
    <w:rsid w:val="00D813E8"/>
    <w:rsid w:val="00D8148E"/>
    <w:rsid w:val="00D81628"/>
    <w:rsid w:val="00D818A3"/>
    <w:rsid w:val="00D81C44"/>
    <w:rsid w:val="00D82263"/>
    <w:rsid w:val="00D823D4"/>
    <w:rsid w:val="00D828D1"/>
    <w:rsid w:val="00D82C1E"/>
    <w:rsid w:val="00D831B8"/>
    <w:rsid w:val="00D83769"/>
    <w:rsid w:val="00D83E4E"/>
    <w:rsid w:val="00D840A3"/>
    <w:rsid w:val="00D840B3"/>
    <w:rsid w:val="00D8454A"/>
    <w:rsid w:val="00D84579"/>
    <w:rsid w:val="00D845AF"/>
    <w:rsid w:val="00D846D7"/>
    <w:rsid w:val="00D84CDD"/>
    <w:rsid w:val="00D85239"/>
    <w:rsid w:val="00D864D5"/>
    <w:rsid w:val="00D86530"/>
    <w:rsid w:val="00D86551"/>
    <w:rsid w:val="00D86BD0"/>
    <w:rsid w:val="00D86FD9"/>
    <w:rsid w:val="00D8723F"/>
    <w:rsid w:val="00D87BF8"/>
    <w:rsid w:val="00D87C05"/>
    <w:rsid w:val="00D903E4"/>
    <w:rsid w:val="00D904EE"/>
    <w:rsid w:val="00D90632"/>
    <w:rsid w:val="00D9069D"/>
    <w:rsid w:val="00D90B26"/>
    <w:rsid w:val="00D90C18"/>
    <w:rsid w:val="00D90CA5"/>
    <w:rsid w:val="00D90D4C"/>
    <w:rsid w:val="00D90DC9"/>
    <w:rsid w:val="00D91AA8"/>
    <w:rsid w:val="00D920F1"/>
    <w:rsid w:val="00D92287"/>
    <w:rsid w:val="00D93616"/>
    <w:rsid w:val="00D93F68"/>
    <w:rsid w:val="00D942D6"/>
    <w:rsid w:val="00D945A6"/>
    <w:rsid w:val="00D94BF1"/>
    <w:rsid w:val="00D94D14"/>
    <w:rsid w:val="00D95558"/>
    <w:rsid w:val="00D95746"/>
    <w:rsid w:val="00D97399"/>
    <w:rsid w:val="00D9748A"/>
    <w:rsid w:val="00DA0195"/>
    <w:rsid w:val="00DA02DD"/>
    <w:rsid w:val="00DA0B39"/>
    <w:rsid w:val="00DA1846"/>
    <w:rsid w:val="00DA1E49"/>
    <w:rsid w:val="00DA2410"/>
    <w:rsid w:val="00DA2842"/>
    <w:rsid w:val="00DA2A6A"/>
    <w:rsid w:val="00DA2C80"/>
    <w:rsid w:val="00DA3314"/>
    <w:rsid w:val="00DA39A6"/>
    <w:rsid w:val="00DA39E0"/>
    <w:rsid w:val="00DA3CE0"/>
    <w:rsid w:val="00DA3EE3"/>
    <w:rsid w:val="00DA52C3"/>
    <w:rsid w:val="00DA56B1"/>
    <w:rsid w:val="00DA5A62"/>
    <w:rsid w:val="00DA66FC"/>
    <w:rsid w:val="00DA718D"/>
    <w:rsid w:val="00DA73D6"/>
    <w:rsid w:val="00DB0256"/>
    <w:rsid w:val="00DB074F"/>
    <w:rsid w:val="00DB0EDB"/>
    <w:rsid w:val="00DB27FF"/>
    <w:rsid w:val="00DB2AA9"/>
    <w:rsid w:val="00DB2CFF"/>
    <w:rsid w:val="00DB3531"/>
    <w:rsid w:val="00DB399B"/>
    <w:rsid w:val="00DB4612"/>
    <w:rsid w:val="00DB47B0"/>
    <w:rsid w:val="00DB4B23"/>
    <w:rsid w:val="00DB4BE8"/>
    <w:rsid w:val="00DB4C8E"/>
    <w:rsid w:val="00DB58D0"/>
    <w:rsid w:val="00DB6BF6"/>
    <w:rsid w:val="00DB6EB5"/>
    <w:rsid w:val="00DB7236"/>
    <w:rsid w:val="00DB75BC"/>
    <w:rsid w:val="00DB7E05"/>
    <w:rsid w:val="00DC076C"/>
    <w:rsid w:val="00DC08B1"/>
    <w:rsid w:val="00DC0D77"/>
    <w:rsid w:val="00DC135B"/>
    <w:rsid w:val="00DC2205"/>
    <w:rsid w:val="00DC224A"/>
    <w:rsid w:val="00DC4F12"/>
    <w:rsid w:val="00DC4FDE"/>
    <w:rsid w:val="00DC559B"/>
    <w:rsid w:val="00DC5862"/>
    <w:rsid w:val="00DC5D86"/>
    <w:rsid w:val="00DC6DB4"/>
    <w:rsid w:val="00DC6F53"/>
    <w:rsid w:val="00DC704C"/>
    <w:rsid w:val="00DC736F"/>
    <w:rsid w:val="00DC7DAF"/>
    <w:rsid w:val="00DD0092"/>
    <w:rsid w:val="00DD0377"/>
    <w:rsid w:val="00DD0603"/>
    <w:rsid w:val="00DD0663"/>
    <w:rsid w:val="00DD0D16"/>
    <w:rsid w:val="00DD14AC"/>
    <w:rsid w:val="00DD168B"/>
    <w:rsid w:val="00DD1DFD"/>
    <w:rsid w:val="00DD2035"/>
    <w:rsid w:val="00DD2221"/>
    <w:rsid w:val="00DD2398"/>
    <w:rsid w:val="00DD31D0"/>
    <w:rsid w:val="00DD332B"/>
    <w:rsid w:val="00DD3994"/>
    <w:rsid w:val="00DD3C37"/>
    <w:rsid w:val="00DD3FA4"/>
    <w:rsid w:val="00DD431B"/>
    <w:rsid w:val="00DD4429"/>
    <w:rsid w:val="00DD483D"/>
    <w:rsid w:val="00DD484D"/>
    <w:rsid w:val="00DD51D9"/>
    <w:rsid w:val="00DD5384"/>
    <w:rsid w:val="00DD59A2"/>
    <w:rsid w:val="00DD5A14"/>
    <w:rsid w:val="00DD607B"/>
    <w:rsid w:val="00DD63C3"/>
    <w:rsid w:val="00DD64A4"/>
    <w:rsid w:val="00DD6C96"/>
    <w:rsid w:val="00DD7A53"/>
    <w:rsid w:val="00DD7F82"/>
    <w:rsid w:val="00DE020B"/>
    <w:rsid w:val="00DE0F26"/>
    <w:rsid w:val="00DE1069"/>
    <w:rsid w:val="00DE10BB"/>
    <w:rsid w:val="00DE11B5"/>
    <w:rsid w:val="00DE18AB"/>
    <w:rsid w:val="00DE1CB2"/>
    <w:rsid w:val="00DE1D75"/>
    <w:rsid w:val="00DE1F95"/>
    <w:rsid w:val="00DE225A"/>
    <w:rsid w:val="00DE3507"/>
    <w:rsid w:val="00DE392A"/>
    <w:rsid w:val="00DE3F02"/>
    <w:rsid w:val="00DE3F44"/>
    <w:rsid w:val="00DE442A"/>
    <w:rsid w:val="00DE47A1"/>
    <w:rsid w:val="00DE5817"/>
    <w:rsid w:val="00DE59D7"/>
    <w:rsid w:val="00DE6A74"/>
    <w:rsid w:val="00DE6BFA"/>
    <w:rsid w:val="00DE70E2"/>
    <w:rsid w:val="00DE7290"/>
    <w:rsid w:val="00DE738D"/>
    <w:rsid w:val="00DE7596"/>
    <w:rsid w:val="00DE76CC"/>
    <w:rsid w:val="00DE7A73"/>
    <w:rsid w:val="00DE7D93"/>
    <w:rsid w:val="00DE7DEB"/>
    <w:rsid w:val="00DE7FD6"/>
    <w:rsid w:val="00DF0096"/>
    <w:rsid w:val="00DF00C7"/>
    <w:rsid w:val="00DF096B"/>
    <w:rsid w:val="00DF0A40"/>
    <w:rsid w:val="00DF0D39"/>
    <w:rsid w:val="00DF136D"/>
    <w:rsid w:val="00DF1728"/>
    <w:rsid w:val="00DF290C"/>
    <w:rsid w:val="00DF3278"/>
    <w:rsid w:val="00DF4AEC"/>
    <w:rsid w:val="00DF567D"/>
    <w:rsid w:val="00DF5691"/>
    <w:rsid w:val="00DF6713"/>
    <w:rsid w:val="00DF6825"/>
    <w:rsid w:val="00DF69A5"/>
    <w:rsid w:val="00DF6A59"/>
    <w:rsid w:val="00DF6C82"/>
    <w:rsid w:val="00DF6EA6"/>
    <w:rsid w:val="00DF739A"/>
    <w:rsid w:val="00DF7461"/>
    <w:rsid w:val="00DF74B2"/>
    <w:rsid w:val="00DF768F"/>
    <w:rsid w:val="00E00152"/>
    <w:rsid w:val="00E0077B"/>
    <w:rsid w:val="00E01BF7"/>
    <w:rsid w:val="00E02034"/>
    <w:rsid w:val="00E02899"/>
    <w:rsid w:val="00E039E2"/>
    <w:rsid w:val="00E03D0E"/>
    <w:rsid w:val="00E055BF"/>
    <w:rsid w:val="00E056F0"/>
    <w:rsid w:val="00E05794"/>
    <w:rsid w:val="00E05CCF"/>
    <w:rsid w:val="00E05EA7"/>
    <w:rsid w:val="00E06615"/>
    <w:rsid w:val="00E06856"/>
    <w:rsid w:val="00E070F4"/>
    <w:rsid w:val="00E07B7C"/>
    <w:rsid w:val="00E07D96"/>
    <w:rsid w:val="00E10AD9"/>
    <w:rsid w:val="00E112F1"/>
    <w:rsid w:val="00E11337"/>
    <w:rsid w:val="00E129A0"/>
    <w:rsid w:val="00E13144"/>
    <w:rsid w:val="00E134EF"/>
    <w:rsid w:val="00E137E7"/>
    <w:rsid w:val="00E139BF"/>
    <w:rsid w:val="00E13A9F"/>
    <w:rsid w:val="00E1418F"/>
    <w:rsid w:val="00E1422C"/>
    <w:rsid w:val="00E14BE2"/>
    <w:rsid w:val="00E153AE"/>
    <w:rsid w:val="00E15499"/>
    <w:rsid w:val="00E1563E"/>
    <w:rsid w:val="00E1602C"/>
    <w:rsid w:val="00E166A2"/>
    <w:rsid w:val="00E176B6"/>
    <w:rsid w:val="00E178A0"/>
    <w:rsid w:val="00E17D77"/>
    <w:rsid w:val="00E20683"/>
    <w:rsid w:val="00E20C32"/>
    <w:rsid w:val="00E20E96"/>
    <w:rsid w:val="00E213EE"/>
    <w:rsid w:val="00E21712"/>
    <w:rsid w:val="00E21F38"/>
    <w:rsid w:val="00E22007"/>
    <w:rsid w:val="00E2240F"/>
    <w:rsid w:val="00E224F9"/>
    <w:rsid w:val="00E23AF4"/>
    <w:rsid w:val="00E24158"/>
    <w:rsid w:val="00E2442A"/>
    <w:rsid w:val="00E24433"/>
    <w:rsid w:val="00E245EA"/>
    <w:rsid w:val="00E25EA6"/>
    <w:rsid w:val="00E25FF5"/>
    <w:rsid w:val="00E26093"/>
    <w:rsid w:val="00E26525"/>
    <w:rsid w:val="00E26BCA"/>
    <w:rsid w:val="00E27271"/>
    <w:rsid w:val="00E2758A"/>
    <w:rsid w:val="00E27869"/>
    <w:rsid w:val="00E300F4"/>
    <w:rsid w:val="00E30779"/>
    <w:rsid w:val="00E30AD7"/>
    <w:rsid w:val="00E30B1A"/>
    <w:rsid w:val="00E30CF3"/>
    <w:rsid w:val="00E30D01"/>
    <w:rsid w:val="00E31BCD"/>
    <w:rsid w:val="00E324F7"/>
    <w:rsid w:val="00E3267D"/>
    <w:rsid w:val="00E32977"/>
    <w:rsid w:val="00E32C25"/>
    <w:rsid w:val="00E32D46"/>
    <w:rsid w:val="00E340DF"/>
    <w:rsid w:val="00E34B02"/>
    <w:rsid w:val="00E34B0E"/>
    <w:rsid w:val="00E34F49"/>
    <w:rsid w:val="00E35178"/>
    <w:rsid w:val="00E35C74"/>
    <w:rsid w:val="00E36A2C"/>
    <w:rsid w:val="00E3704B"/>
    <w:rsid w:val="00E372E7"/>
    <w:rsid w:val="00E374CD"/>
    <w:rsid w:val="00E37F8A"/>
    <w:rsid w:val="00E400C4"/>
    <w:rsid w:val="00E4019D"/>
    <w:rsid w:val="00E41182"/>
    <w:rsid w:val="00E417F6"/>
    <w:rsid w:val="00E41A85"/>
    <w:rsid w:val="00E41F81"/>
    <w:rsid w:val="00E42040"/>
    <w:rsid w:val="00E42D35"/>
    <w:rsid w:val="00E437C6"/>
    <w:rsid w:val="00E43800"/>
    <w:rsid w:val="00E4422B"/>
    <w:rsid w:val="00E44809"/>
    <w:rsid w:val="00E44909"/>
    <w:rsid w:val="00E44B51"/>
    <w:rsid w:val="00E450E7"/>
    <w:rsid w:val="00E454ED"/>
    <w:rsid w:val="00E456CD"/>
    <w:rsid w:val="00E459B4"/>
    <w:rsid w:val="00E467B7"/>
    <w:rsid w:val="00E470E2"/>
    <w:rsid w:val="00E47233"/>
    <w:rsid w:val="00E47D8C"/>
    <w:rsid w:val="00E506EA"/>
    <w:rsid w:val="00E507DC"/>
    <w:rsid w:val="00E50B02"/>
    <w:rsid w:val="00E50EF5"/>
    <w:rsid w:val="00E51158"/>
    <w:rsid w:val="00E515F7"/>
    <w:rsid w:val="00E51D4B"/>
    <w:rsid w:val="00E52093"/>
    <w:rsid w:val="00E52128"/>
    <w:rsid w:val="00E52793"/>
    <w:rsid w:val="00E53C24"/>
    <w:rsid w:val="00E53F04"/>
    <w:rsid w:val="00E54054"/>
    <w:rsid w:val="00E54937"/>
    <w:rsid w:val="00E54ECA"/>
    <w:rsid w:val="00E54EE3"/>
    <w:rsid w:val="00E559CA"/>
    <w:rsid w:val="00E5695A"/>
    <w:rsid w:val="00E56CD8"/>
    <w:rsid w:val="00E604D5"/>
    <w:rsid w:val="00E609F9"/>
    <w:rsid w:val="00E60B5E"/>
    <w:rsid w:val="00E60EA9"/>
    <w:rsid w:val="00E61075"/>
    <w:rsid w:val="00E61163"/>
    <w:rsid w:val="00E61227"/>
    <w:rsid w:val="00E616A0"/>
    <w:rsid w:val="00E61866"/>
    <w:rsid w:val="00E6194C"/>
    <w:rsid w:val="00E62557"/>
    <w:rsid w:val="00E6255C"/>
    <w:rsid w:val="00E627C9"/>
    <w:rsid w:val="00E6303B"/>
    <w:rsid w:val="00E63502"/>
    <w:rsid w:val="00E63B67"/>
    <w:rsid w:val="00E64349"/>
    <w:rsid w:val="00E644E8"/>
    <w:rsid w:val="00E64557"/>
    <w:rsid w:val="00E645DE"/>
    <w:rsid w:val="00E64733"/>
    <w:rsid w:val="00E655D4"/>
    <w:rsid w:val="00E65764"/>
    <w:rsid w:val="00E6619B"/>
    <w:rsid w:val="00E677BD"/>
    <w:rsid w:val="00E67BB8"/>
    <w:rsid w:val="00E700DF"/>
    <w:rsid w:val="00E70201"/>
    <w:rsid w:val="00E70771"/>
    <w:rsid w:val="00E70B0C"/>
    <w:rsid w:val="00E70C09"/>
    <w:rsid w:val="00E70E7E"/>
    <w:rsid w:val="00E7196B"/>
    <w:rsid w:val="00E71A6D"/>
    <w:rsid w:val="00E71FDD"/>
    <w:rsid w:val="00E71FF5"/>
    <w:rsid w:val="00E72135"/>
    <w:rsid w:val="00E72B15"/>
    <w:rsid w:val="00E72E83"/>
    <w:rsid w:val="00E736F7"/>
    <w:rsid w:val="00E73B41"/>
    <w:rsid w:val="00E73BAD"/>
    <w:rsid w:val="00E74441"/>
    <w:rsid w:val="00E75714"/>
    <w:rsid w:val="00E7588E"/>
    <w:rsid w:val="00E76233"/>
    <w:rsid w:val="00E7625A"/>
    <w:rsid w:val="00E762D7"/>
    <w:rsid w:val="00E7656C"/>
    <w:rsid w:val="00E769B9"/>
    <w:rsid w:val="00E76DC2"/>
    <w:rsid w:val="00E77E0E"/>
    <w:rsid w:val="00E808BF"/>
    <w:rsid w:val="00E80BCE"/>
    <w:rsid w:val="00E80C8E"/>
    <w:rsid w:val="00E81D92"/>
    <w:rsid w:val="00E82EA4"/>
    <w:rsid w:val="00E83BE2"/>
    <w:rsid w:val="00E83D41"/>
    <w:rsid w:val="00E846E4"/>
    <w:rsid w:val="00E84E6C"/>
    <w:rsid w:val="00E85069"/>
    <w:rsid w:val="00E8524F"/>
    <w:rsid w:val="00E85B58"/>
    <w:rsid w:val="00E85CAB"/>
    <w:rsid w:val="00E860FE"/>
    <w:rsid w:val="00E861D9"/>
    <w:rsid w:val="00E86B9C"/>
    <w:rsid w:val="00E873FC"/>
    <w:rsid w:val="00E874E1"/>
    <w:rsid w:val="00E877FC"/>
    <w:rsid w:val="00E878F4"/>
    <w:rsid w:val="00E8792D"/>
    <w:rsid w:val="00E87D80"/>
    <w:rsid w:val="00E9007C"/>
    <w:rsid w:val="00E90461"/>
    <w:rsid w:val="00E91116"/>
    <w:rsid w:val="00E91197"/>
    <w:rsid w:val="00E9146E"/>
    <w:rsid w:val="00E917E0"/>
    <w:rsid w:val="00E918BE"/>
    <w:rsid w:val="00E935B2"/>
    <w:rsid w:val="00E938F4"/>
    <w:rsid w:val="00E939E8"/>
    <w:rsid w:val="00E93AA7"/>
    <w:rsid w:val="00E940C1"/>
    <w:rsid w:val="00E94170"/>
    <w:rsid w:val="00E94508"/>
    <w:rsid w:val="00E94AF8"/>
    <w:rsid w:val="00E94E46"/>
    <w:rsid w:val="00E95747"/>
    <w:rsid w:val="00E95BB8"/>
    <w:rsid w:val="00E965F3"/>
    <w:rsid w:val="00E968A8"/>
    <w:rsid w:val="00E96980"/>
    <w:rsid w:val="00E96C87"/>
    <w:rsid w:val="00E977AE"/>
    <w:rsid w:val="00E9784C"/>
    <w:rsid w:val="00E978F1"/>
    <w:rsid w:val="00EA00F1"/>
    <w:rsid w:val="00EA02BE"/>
    <w:rsid w:val="00EA03F8"/>
    <w:rsid w:val="00EA0408"/>
    <w:rsid w:val="00EA0AB5"/>
    <w:rsid w:val="00EA0F10"/>
    <w:rsid w:val="00EA1942"/>
    <w:rsid w:val="00EA1B44"/>
    <w:rsid w:val="00EA317F"/>
    <w:rsid w:val="00EA387C"/>
    <w:rsid w:val="00EA4353"/>
    <w:rsid w:val="00EA4409"/>
    <w:rsid w:val="00EA4467"/>
    <w:rsid w:val="00EA48D3"/>
    <w:rsid w:val="00EA4BF0"/>
    <w:rsid w:val="00EA52B9"/>
    <w:rsid w:val="00EA5329"/>
    <w:rsid w:val="00EA5E38"/>
    <w:rsid w:val="00EA61B4"/>
    <w:rsid w:val="00EA7F50"/>
    <w:rsid w:val="00EB00FA"/>
    <w:rsid w:val="00EB048E"/>
    <w:rsid w:val="00EB0E85"/>
    <w:rsid w:val="00EB0F03"/>
    <w:rsid w:val="00EB14BD"/>
    <w:rsid w:val="00EB33E8"/>
    <w:rsid w:val="00EB35DB"/>
    <w:rsid w:val="00EB3807"/>
    <w:rsid w:val="00EB421C"/>
    <w:rsid w:val="00EB4698"/>
    <w:rsid w:val="00EB476E"/>
    <w:rsid w:val="00EB49A2"/>
    <w:rsid w:val="00EB4D5B"/>
    <w:rsid w:val="00EB4F43"/>
    <w:rsid w:val="00EB58EA"/>
    <w:rsid w:val="00EB5CD4"/>
    <w:rsid w:val="00EB6837"/>
    <w:rsid w:val="00EB7B0C"/>
    <w:rsid w:val="00EB7C35"/>
    <w:rsid w:val="00EC06E8"/>
    <w:rsid w:val="00EC097B"/>
    <w:rsid w:val="00EC0FB3"/>
    <w:rsid w:val="00EC14FD"/>
    <w:rsid w:val="00EC1562"/>
    <w:rsid w:val="00EC170D"/>
    <w:rsid w:val="00EC1E7F"/>
    <w:rsid w:val="00EC2305"/>
    <w:rsid w:val="00EC2677"/>
    <w:rsid w:val="00EC2C88"/>
    <w:rsid w:val="00EC2F82"/>
    <w:rsid w:val="00EC433E"/>
    <w:rsid w:val="00EC4910"/>
    <w:rsid w:val="00EC4C14"/>
    <w:rsid w:val="00EC507D"/>
    <w:rsid w:val="00EC5349"/>
    <w:rsid w:val="00EC564F"/>
    <w:rsid w:val="00EC5B0B"/>
    <w:rsid w:val="00EC6DF9"/>
    <w:rsid w:val="00EC71F9"/>
    <w:rsid w:val="00EC795D"/>
    <w:rsid w:val="00EC7D3F"/>
    <w:rsid w:val="00ED08E3"/>
    <w:rsid w:val="00ED0EFE"/>
    <w:rsid w:val="00ED168C"/>
    <w:rsid w:val="00ED16D2"/>
    <w:rsid w:val="00ED1972"/>
    <w:rsid w:val="00ED1CB3"/>
    <w:rsid w:val="00ED27A6"/>
    <w:rsid w:val="00ED2FF8"/>
    <w:rsid w:val="00ED3341"/>
    <w:rsid w:val="00ED347B"/>
    <w:rsid w:val="00ED3D4B"/>
    <w:rsid w:val="00ED473C"/>
    <w:rsid w:val="00ED4759"/>
    <w:rsid w:val="00ED5592"/>
    <w:rsid w:val="00ED56DD"/>
    <w:rsid w:val="00ED6C00"/>
    <w:rsid w:val="00ED7491"/>
    <w:rsid w:val="00ED77AF"/>
    <w:rsid w:val="00EE0406"/>
    <w:rsid w:val="00EE0486"/>
    <w:rsid w:val="00EE0E7B"/>
    <w:rsid w:val="00EE18B5"/>
    <w:rsid w:val="00EE1B47"/>
    <w:rsid w:val="00EE2268"/>
    <w:rsid w:val="00EE2E45"/>
    <w:rsid w:val="00EE34EE"/>
    <w:rsid w:val="00EE36B9"/>
    <w:rsid w:val="00EE3BE5"/>
    <w:rsid w:val="00EE4219"/>
    <w:rsid w:val="00EE4617"/>
    <w:rsid w:val="00EE4900"/>
    <w:rsid w:val="00EE505D"/>
    <w:rsid w:val="00EE57C9"/>
    <w:rsid w:val="00EE5F72"/>
    <w:rsid w:val="00EE6336"/>
    <w:rsid w:val="00EE66F7"/>
    <w:rsid w:val="00EE6744"/>
    <w:rsid w:val="00EE6F95"/>
    <w:rsid w:val="00EE733D"/>
    <w:rsid w:val="00EE7790"/>
    <w:rsid w:val="00EF0391"/>
    <w:rsid w:val="00EF0564"/>
    <w:rsid w:val="00EF070A"/>
    <w:rsid w:val="00EF0804"/>
    <w:rsid w:val="00EF2001"/>
    <w:rsid w:val="00EF226D"/>
    <w:rsid w:val="00EF2409"/>
    <w:rsid w:val="00EF2886"/>
    <w:rsid w:val="00EF31D0"/>
    <w:rsid w:val="00EF3345"/>
    <w:rsid w:val="00EF3513"/>
    <w:rsid w:val="00EF4ACF"/>
    <w:rsid w:val="00EF4D69"/>
    <w:rsid w:val="00EF4ECC"/>
    <w:rsid w:val="00EF5465"/>
    <w:rsid w:val="00EF5B52"/>
    <w:rsid w:val="00EF5B86"/>
    <w:rsid w:val="00EF64D4"/>
    <w:rsid w:val="00EF66F9"/>
    <w:rsid w:val="00EF6710"/>
    <w:rsid w:val="00EF6815"/>
    <w:rsid w:val="00EF6997"/>
    <w:rsid w:val="00EF6DA0"/>
    <w:rsid w:val="00EF6E5C"/>
    <w:rsid w:val="00EF7227"/>
    <w:rsid w:val="00EF778A"/>
    <w:rsid w:val="00EF7B49"/>
    <w:rsid w:val="00F00AF0"/>
    <w:rsid w:val="00F00CB7"/>
    <w:rsid w:val="00F01259"/>
    <w:rsid w:val="00F013AE"/>
    <w:rsid w:val="00F01470"/>
    <w:rsid w:val="00F01552"/>
    <w:rsid w:val="00F01EC2"/>
    <w:rsid w:val="00F02868"/>
    <w:rsid w:val="00F02897"/>
    <w:rsid w:val="00F02A18"/>
    <w:rsid w:val="00F02E32"/>
    <w:rsid w:val="00F035A1"/>
    <w:rsid w:val="00F038FD"/>
    <w:rsid w:val="00F039BD"/>
    <w:rsid w:val="00F03C69"/>
    <w:rsid w:val="00F045F6"/>
    <w:rsid w:val="00F05FCE"/>
    <w:rsid w:val="00F067A2"/>
    <w:rsid w:val="00F067CC"/>
    <w:rsid w:val="00F06842"/>
    <w:rsid w:val="00F069C3"/>
    <w:rsid w:val="00F06D63"/>
    <w:rsid w:val="00F06E66"/>
    <w:rsid w:val="00F0781D"/>
    <w:rsid w:val="00F07A67"/>
    <w:rsid w:val="00F07FB9"/>
    <w:rsid w:val="00F10EDB"/>
    <w:rsid w:val="00F1150F"/>
    <w:rsid w:val="00F12276"/>
    <w:rsid w:val="00F1243E"/>
    <w:rsid w:val="00F128FB"/>
    <w:rsid w:val="00F12935"/>
    <w:rsid w:val="00F12ADC"/>
    <w:rsid w:val="00F131AB"/>
    <w:rsid w:val="00F1373C"/>
    <w:rsid w:val="00F13ACF"/>
    <w:rsid w:val="00F13C04"/>
    <w:rsid w:val="00F13CE7"/>
    <w:rsid w:val="00F1454E"/>
    <w:rsid w:val="00F147A1"/>
    <w:rsid w:val="00F14FBB"/>
    <w:rsid w:val="00F153E8"/>
    <w:rsid w:val="00F15F78"/>
    <w:rsid w:val="00F163A1"/>
    <w:rsid w:val="00F165DE"/>
    <w:rsid w:val="00F16E23"/>
    <w:rsid w:val="00F1718E"/>
    <w:rsid w:val="00F172D4"/>
    <w:rsid w:val="00F1748D"/>
    <w:rsid w:val="00F1781A"/>
    <w:rsid w:val="00F179E1"/>
    <w:rsid w:val="00F2056A"/>
    <w:rsid w:val="00F20987"/>
    <w:rsid w:val="00F20D2C"/>
    <w:rsid w:val="00F2135E"/>
    <w:rsid w:val="00F21507"/>
    <w:rsid w:val="00F21545"/>
    <w:rsid w:val="00F21949"/>
    <w:rsid w:val="00F21DDE"/>
    <w:rsid w:val="00F226A0"/>
    <w:rsid w:val="00F231BE"/>
    <w:rsid w:val="00F23B3A"/>
    <w:rsid w:val="00F23DA8"/>
    <w:rsid w:val="00F249CF"/>
    <w:rsid w:val="00F25093"/>
    <w:rsid w:val="00F252BA"/>
    <w:rsid w:val="00F254CD"/>
    <w:rsid w:val="00F2580E"/>
    <w:rsid w:val="00F25828"/>
    <w:rsid w:val="00F25A39"/>
    <w:rsid w:val="00F25DBD"/>
    <w:rsid w:val="00F25F8C"/>
    <w:rsid w:val="00F261C2"/>
    <w:rsid w:val="00F26A8C"/>
    <w:rsid w:val="00F26DFA"/>
    <w:rsid w:val="00F27144"/>
    <w:rsid w:val="00F272E0"/>
    <w:rsid w:val="00F274CE"/>
    <w:rsid w:val="00F27E29"/>
    <w:rsid w:val="00F305A5"/>
    <w:rsid w:val="00F308D5"/>
    <w:rsid w:val="00F30E04"/>
    <w:rsid w:val="00F30E11"/>
    <w:rsid w:val="00F3149A"/>
    <w:rsid w:val="00F314C8"/>
    <w:rsid w:val="00F31B42"/>
    <w:rsid w:val="00F31BD2"/>
    <w:rsid w:val="00F3346B"/>
    <w:rsid w:val="00F33AB5"/>
    <w:rsid w:val="00F34985"/>
    <w:rsid w:val="00F35997"/>
    <w:rsid w:val="00F359FB"/>
    <w:rsid w:val="00F36240"/>
    <w:rsid w:val="00F3625D"/>
    <w:rsid w:val="00F3657C"/>
    <w:rsid w:val="00F369A5"/>
    <w:rsid w:val="00F36A59"/>
    <w:rsid w:val="00F36F5A"/>
    <w:rsid w:val="00F37200"/>
    <w:rsid w:val="00F3772A"/>
    <w:rsid w:val="00F37A4C"/>
    <w:rsid w:val="00F37CEE"/>
    <w:rsid w:val="00F37CF8"/>
    <w:rsid w:val="00F40C22"/>
    <w:rsid w:val="00F40C96"/>
    <w:rsid w:val="00F41409"/>
    <w:rsid w:val="00F41571"/>
    <w:rsid w:val="00F41601"/>
    <w:rsid w:val="00F416B4"/>
    <w:rsid w:val="00F416F1"/>
    <w:rsid w:val="00F4199B"/>
    <w:rsid w:val="00F41E26"/>
    <w:rsid w:val="00F421C7"/>
    <w:rsid w:val="00F4223C"/>
    <w:rsid w:val="00F42AA1"/>
    <w:rsid w:val="00F42D1C"/>
    <w:rsid w:val="00F43204"/>
    <w:rsid w:val="00F43B4D"/>
    <w:rsid w:val="00F43EB4"/>
    <w:rsid w:val="00F4443E"/>
    <w:rsid w:val="00F445B7"/>
    <w:rsid w:val="00F44765"/>
    <w:rsid w:val="00F4594B"/>
    <w:rsid w:val="00F45D77"/>
    <w:rsid w:val="00F47267"/>
    <w:rsid w:val="00F47510"/>
    <w:rsid w:val="00F47A48"/>
    <w:rsid w:val="00F514DB"/>
    <w:rsid w:val="00F5153C"/>
    <w:rsid w:val="00F5158D"/>
    <w:rsid w:val="00F51B25"/>
    <w:rsid w:val="00F51B81"/>
    <w:rsid w:val="00F51E76"/>
    <w:rsid w:val="00F51FD7"/>
    <w:rsid w:val="00F528A1"/>
    <w:rsid w:val="00F53464"/>
    <w:rsid w:val="00F5357E"/>
    <w:rsid w:val="00F54A66"/>
    <w:rsid w:val="00F554DB"/>
    <w:rsid w:val="00F55903"/>
    <w:rsid w:val="00F56397"/>
    <w:rsid w:val="00F56497"/>
    <w:rsid w:val="00F56E34"/>
    <w:rsid w:val="00F579E8"/>
    <w:rsid w:val="00F57B3B"/>
    <w:rsid w:val="00F6073B"/>
    <w:rsid w:val="00F61221"/>
    <w:rsid w:val="00F615E5"/>
    <w:rsid w:val="00F62472"/>
    <w:rsid w:val="00F62C93"/>
    <w:rsid w:val="00F62CBD"/>
    <w:rsid w:val="00F63627"/>
    <w:rsid w:val="00F63D02"/>
    <w:rsid w:val="00F64248"/>
    <w:rsid w:val="00F642A5"/>
    <w:rsid w:val="00F6440C"/>
    <w:rsid w:val="00F647EB"/>
    <w:rsid w:val="00F64A93"/>
    <w:rsid w:val="00F654C7"/>
    <w:rsid w:val="00F66029"/>
    <w:rsid w:val="00F66850"/>
    <w:rsid w:val="00F66A29"/>
    <w:rsid w:val="00F66A2D"/>
    <w:rsid w:val="00F66C72"/>
    <w:rsid w:val="00F677CF"/>
    <w:rsid w:val="00F67B53"/>
    <w:rsid w:val="00F70B7A"/>
    <w:rsid w:val="00F711B8"/>
    <w:rsid w:val="00F71596"/>
    <w:rsid w:val="00F71E01"/>
    <w:rsid w:val="00F720E9"/>
    <w:rsid w:val="00F724A9"/>
    <w:rsid w:val="00F72C1A"/>
    <w:rsid w:val="00F72D49"/>
    <w:rsid w:val="00F73349"/>
    <w:rsid w:val="00F7338B"/>
    <w:rsid w:val="00F73CEC"/>
    <w:rsid w:val="00F73E8B"/>
    <w:rsid w:val="00F73FDB"/>
    <w:rsid w:val="00F749F0"/>
    <w:rsid w:val="00F74A12"/>
    <w:rsid w:val="00F74B06"/>
    <w:rsid w:val="00F754F7"/>
    <w:rsid w:val="00F75508"/>
    <w:rsid w:val="00F755D8"/>
    <w:rsid w:val="00F75A7E"/>
    <w:rsid w:val="00F76FA9"/>
    <w:rsid w:val="00F773AA"/>
    <w:rsid w:val="00F779C2"/>
    <w:rsid w:val="00F77CAC"/>
    <w:rsid w:val="00F77EBE"/>
    <w:rsid w:val="00F80044"/>
    <w:rsid w:val="00F8011C"/>
    <w:rsid w:val="00F81BC6"/>
    <w:rsid w:val="00F81E8D"/>
    <w:rsid w:val="00F82A74"/>
    <w:rsid w:val="00F83199"/>
    <w:rsid w:val="00F831CE"/>
    <w:rsid w:val="00F83AED"/>
    <w:rsid w:val="00F84A04"/>
    <w:rsid w:val="00F85172"/>
    <w:rsid w:val="00F8533C"/>
    <w:rsid w:val="00F85522"/>
    <w:rsid w:val="00F86091"/>
    <w:rsid w:val="00F86B06"/>
    <w:rsid w:val="00F86EA3"/>
    <w:rsid w:val="00F87140"/>
    <w:rsid w:val="00F872E2"/>
    <w:rsid w:val="00F8754D"/>
    <w:rsid w:val="00F87E73"/>
    <w:rsid w:val="00F87FBC"/>
    <w:rsid w:val="00F905E2"/>
    <w:rsid w:val="00F90861"/>
    <w:rsid w:val="00F909C1"/>
    <w:rsid w:val="00F90B78"/>
    <w:rsid w:val="00F90CF0"/>
    <w:rsid w:val="00F91319"/>
    <w:rsid w:val="00F91BBD"/>
    <w:rsid w:val="00F92121"/>
    <w:rsid w:val="00F92287"/>
    <w:rsid w:val="00F9238F"/>
    <w:rsid w:val="00F926BC"/>
    <w:rsid w:val="00F92C15"/>
    <w:rsid w:val="00F93347"/>
    <w:rsid w:val="00F938FE"/>
    <w:rsid w:val="00F946FC"/>
    <w:rsid w:val="00F951A2"/>
    <w:rsid w:val="00F9524A"/>
    <w:rsid w:val="00F95549"/>
    <w:rsid w:val="00F959C7"/>
    <w:rsid w:val="00F9602A"/>
    <w:rsid w:val="00F96149"/>
    <w:rsid w:val="00F9671C"/>
    <w:rsid w:val="00F9687F"/>
    <w:rsid w:val="00F968E0"/>
    <w:rsid w:val="00F97875"/>
    <w:rsid w:val="00F97BAA"/>
    <w:rsid w:val="00FA0962"/>
    <w:rsid w:val="00FA0D84"/>
    <w:rsid w:val="00FA1456"/>
    <w:rsid w:val="00FA22F2"/>
    <w:rsid w:val="00FA279A"/>
    <w:rsid w:val="00FA2A9C"/>
    <w:rsid w:val="00FA2C1A"/>
    <w:rsid w:val="00FA353B"/>
    <w:rsid w:val="00FA3A6B"/>
    <w:rsid w:val="00FA3B3B"/>
    <w:rsid w:val="00FA3D5A"/>
    <w:rsid w:val="00FA40C0"/>
    <w:rsid w:val="00FA477E"/>
    <w:rsid w:val="00FA4D04"/>
    <w:rsid w:val="00FA5457"/>
    <w:rsid w:val="00FA5D84"/>
    <w:rsid w:val="00FA5F09"/>
    <w:rsid w:val="00FA5F7B"/>
    <w:rsid w:val="00FA6187"/>
    <w:rsid w:val="00FA64D3"/>
    <w:rsid w:val="00FA698B"/>
    <w:rsid w:val="00FA703D"/>
    <w:rsid w:val="00FA7696"/>
    <w:rsid w:val="00FA76F4"/>
    <w:rsid w:val="00FB073D"/>
    <w:rsid w:val="00FB0A32"/>
    <w:rsid w:val="00FB12F1"/>
    <w:rsid w:val="00FB18BF"/>
    <w:rsid w:val="00FB19FF"/>
    <w:rsid w:val="00FB2372"/>
    <w:rsid w:val="00FB2ED2"/>
    <w:rsid w:val="00FB33A0"/>
    <w:rsid w:val="00FB42E5"/>
    <w:rsid w:val="00FB4495"/>
    <w:rsid w:val="00FB44FA"/>
    <w:rsid w:val="00FB4740"/>
    <w:rsid w:val="00FB4F09"/>
    <w:rsid w:val="00FB57FB"/>
    <w:rsid w:val="00FB5939"/>
    <w:rsid w:val="00FB59D0"/>
    <w:rsid w:val="00FB5C3A"/>
    <w:rsid w:val="00FB66FA"/>
    <w:rsid w:val="00FB6D4B"/>
    <w:rsid w:val="00FB6F01"/>
    <w:rsid w:val="00FB7174"/>
    <w:rsid w:val="00FB7613"/>
    <w:rsid w:val="00FB787C"/>
    <w:rsid w:val="00FB7F77"/>
    <w:rsid w:val="00FB7FDF"/>
    <w:rsid w:val="00FC05EC"/>
    <w:rsid w:val="00FC0EA3"/>
    <w:rsid w:val="00FC1B4C"/>
    <w:rsid w:val="00FC2091"/>
    <w:rsid w:val="00FC35BB"/>
    <w:rsid w:val="00FC3733"/>
    <w:rsid w:val="00FC3D76"/>
    <w:rsid w:val="00FC447C"/>
    <w:rsid w:val="00FC4514"/>
    <w:rsid w:val="00FC4DA7"/>
    <w:rsid w:val="00FC6293"/>
    <w:rsid w:val="00FC6FA6"/>
    <w:rsid w:val="00FC7059"/>
    <w:rsid w:val="00FC71B2"/>
    <w:rsid w:val="00FC75BE"/>
    <w:rsid w:val="00FC76D3"/>
    <w:rsid w:val="00FC7703"/>
    <w:rsid w:val="00FC7D35"/>
    <w:rsid w:val="00FC7EBA"/>
    <w:rsid w:val="00FD02D7"/>
    <w:rsid w:val="00FD05E5"/>
    <w:rsid w:val="00FD0AA0"/>
    <w:rsid w:val="00FD1115"/>
    <w:rsid w:val="00FD121C"/>
    <w:rsid w:val="00FD12C4"/>
    <w:rsid w:val="00FD138D"/>
    <w:rsid w:val="00FD1816"/>
    <w:rsid w:val="00FD1A92"/>
    <w:rsid w:val="00FD1BFD"/>
    <w:rsid w:val="00FD2BD8"/>
    <w:rsid w:val="00FD2D35"/>
    <w:rsid w:val="00FD337F"/>
    <w:rsid w:val="00FD3663"/>
    <w:rsid w:val="00FD3D0C"/>
    <w:rsid w:val="00FD4262"/>
    <w:rsid w:val="00FD48F6"/>
    <w:rsid w:val="00FD4DC0"/>
    <w:rsid w:val="00FD4ED1"/>
    <w:rsid w:val="00FD520B"/>
    <w:rsid w:val="00FD5A2B"/>
    <w:rsid w:val="00FD74DE"/>
    <w:rsid w:val="00FD7536"/>
    <w:rsid w:val="00FD7CB3"/>
    <w:rsid w:val="00FD7E81"/>
    <w:rsid w:val="00FD7EE2"/>
    <w:rsid w:val="00FE06B2"/>
    <w:rsid w:val="00FE0702"/>
    <w:rsid w:val="00FE110D"/>
    <w:rsid w:val="00FE228D"/>
    <w:rsid w:val="00FE2343"/>
    <w:rsid w:val="00FE39E7"/>
    <w:rsid w:val="00FE3A78"/>
    <w:rsid w:val="00FE3EBC"/>
    <w:rsid w:val="00FE441D"/>
    <w:rsid w:val="00FE4974"/>
    <w:rsid w:val="00FE4EA1"/>
    <w:rsid w:val="00FE4EE8"/>
    <w:rsid w:val="00FE502D"/>
    <w:rsid w:val="00FE5275"/>
    <w:rsid w:val="00FE588A"/>
    <w:rsid w:val="00FE5E4B"/>
    <w:rsid w:val="00FE5EE1"/>
    <w:rsid w:val="00FE62C4"/>
    <w:rsid w:val="00FE6956"/>
    <w:rsid w:val="00FE6C4E"/>
    <w:rsid w:val="00FE75BF"/>
    <w:rsid w:val="00FF05EE"/>
    <w:rsid w:val="00FF0718"/>
    <w:rsid w:val="00FF072D"/>
    <w:rsid w:val="00FF09B0"/>
    <w:rsid w:val="00FF1047"/>
    <w:rsid w:val="00FF11DE"/>
    <w:rsid w:val="00FF1550"/>
    <w:rsid w:val="00FF17E7"/>
    <w:rsid w:val="00FF18F5"/>
    <w:rsid w:val="00FF1CCB"/>
    <w:rsid w:val="00FF1F9D"/>
    <w:rsid w:val="00FF20E2"/>
    <w:rsid w:val="00FF26D3"/>
    <w:rsid w:val="00FF2D0E"/>
    <w:rsid w:val="00FF3633"/>
    <w:rsid w:val="00FF3694"/>
    <w:rsid w:val="00FF3EA2"/>
    <w:rsid w:val="00FF40BB"/>
    <w:rsid w:val="00FF40F8"/>
    <w:rsid w:val="00FF4135"/>
    <w:rsid w:val="00FF42AE"/>
    <w:rsid w:val="00FF4BF3"/>
    <w:rsid w:val="00FF4EE8"/>
    <w:rsid w:val="00FF5E1F"/>
    <w:rsid w:val="00FF603F"/>
    <w:rsid w:val="00FF60D0"/>
    <w:rsid w:val="00FF6391"/>
    <w:rsid w:val="00FF6616"/>
    <w:rsid w:val="00FF7463"/>
    <w:rsid w:val="00FF7722"/>
    <w:rsid w:val="00FF7791"/>
    <w:rsid w:val="00FF779B"/>
    <w:rsid w:val="00FF7DCC"/>
    <w:rsid w:val="019229D5"/>
    <w:rsid w:val="01A83E90"/>
    <w:rsid w:val="023474EE"/>
    <w:rsid w:val="055C46A1"/>
    <w:rsid w:val="062C1E45"/>
    <w:rsid w:val="08F03CC5"/>
    <w:rsid w:val="097B7B2B"/>
    <w:rsid w:val="0B8D6EB1"/>
    <w:rsid w:val="0CBB4DDC"/>
    <w:rsid w:val="0DE852C0"/>
    <w:rsid w:val="0E8E57BC"/>
    <w:rsid w:val="10665A8D"/>
    <w:rsid w:val="12957EFA"/>
    <w:rsid w:val="13272D35"/>
    <w:rsid w:val="13D93BA1"/>
    <w:rsid w:val="15D0513B"/>
    <w:rsid w:val="17682836"/>
    <w:rsid w:val="18C31E4F"/>
    <w:rsid w:val="194716F6"/>
    <w:rsid w:val="1A8F2A57"/>
    <w:rsid w:val="1C4D6EE7"/>
    <w:rsid w:val="1E7606B5"/>
    <w:rsid w:val="1EF609CF"/>
    <w:rsid w:val="1F6D7052"/>
    <w:rsid w:val="20B93218"/>
    <w:rsid w:val="22750285"/>
    <w:rsid w:val="24F60CCA"/>
    <w:rsid w:val="279F0366"/>
    <w:rsid w:val="28C2536B"/>
    <w:rsid w:val="2A9D506F"/>
    <w:rsid w:val="2C4D46F0"/>
    <w:rsid w:val="2E1132EC"/>
    <w:rsid w:val="2E4C6F4F"/>
    <w:rsid w:val="2FF55B6D"/>
    <w:rsid w:val="318B388A"/>
    <w:rsid w:val="32D47521"/>
    <w:rsid w:val="333C64CA"/>
    <w:rsid w:val="34DD24DC"/>
    <w:rsid w:val="351C563B"/>
    <w:rsid w:val="355B1A31"/>
    <w:rsid w:val="356A1E82"/>
    <w:rsid w:val="359B6DF5"/>
    <w:rsid w:val="36485EFE"/>
    <w:rsid w:val="37252994"/>
    <w:rsid w:val="37965BC3"/>
    <w:rsid w:val="37A51825"/>
    <w:rsid w:val="37A77B3A"/>
    <w:rsid w:val="37FC10C1"/>
    <w:rsid w:val="386F0711"/>
    <w:rsid w:val="387C41DB"/>
    <w:rsid w:val="3E2E6094"/>
    <w:rsid w:val="48AD138B"/>
    <w:rsid w:val="4A687EEE"/>
    <w:rsid w:val="4AB517F4"/>
    <w:rsid w:val="4D391C28"/>
    <w:rsid w:val="4D45577D"/>
    <w:rsid w:val="4FA43E36"/>
    <w:rsid w:val="5007360D"/>
    <w:rsid w:val="507C3093"/>
    <w:rsid w:val="524F76F7"/>
    <w:rsid w:val="55255ED5"/>
    <w:rsid w:val="5640288F"/>
    <w:rsid w:val="582358CD"/>
    <w:rsid w:val="5B7F205D"/>
    <w:rsid w:val="5C1D2FDA"/>
    <w:rsid w:val="5C5F3752"/>
    <w:rsid w:val="5DF10E19"/>
    <w:rsid w:val="61CC759E"/>
    <w:rsid w:val="643F703B"/>
    <w:rsid w:val="65BF0785"/>
    <w:rsid w:val="65D91A76"/>
    <w:rsid w:val="6815198C"/>
    <w:rsid w:val="6879747F"/>
    <w:rsid w:val="68A6140C"/>
    <w:rsid w:val="69911800"/>
    <w:rsid w:val="6A6F4E96"/>
    <w:rsid w:val="6ACF7D02"/>
    <w:rsid w:val="6AED3553"/>
    <w:rsid w:val="6C37502E"/>
    <w:rsid w:val="6D7D0796"/>
    <w:rsid w:val="6E7701BF"/>
    <w:rsid w:val="6F135007"/>
    <w:rsid w:val="72671B07"/>
    <w:rsid w:val="76385082"/>
    <w:rsid w:val="77D73AAB"/>
    <w:rsid w:val="7894248A"/>
    <w:rsid w:val="794467B2"/>
    <w:rsid w:val="7A022E6F"/>
    <w:rsid w:val="7A482E55"/>
    <w:rsid w:val="7A9D2C5A"/>
    <w:rsid w:val="7AB32E6B"/>
    <w:rsid w:val="7B117DA6"/>
    <w:rsid w:val="7C80781A"/>
    <w:rsid w:val="7CD835DB"/>
    <w:rsid w:val="7D412E2F"/>
    <w:rsid w:val="7D575EAB"/>
    <w:rsid w:val="7E3506D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name="heading 7"/>
    <w:lsdException w:qFormat="1" w:unhideWhenUsed="0" w:uiPriority="0" w:name="heading 8"/>
    <w:lsdException w:qFormat="1" w:unhideWhenUsed="0" w:uiPriority="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8" w:name="caption"/>
    <w:lsdException w:qFormat="1" w:unhideWhenUsed="0" w:uiPriority="0" w:semiHidden="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99" w:semiHidden="0" w:name="annotation reference"/>
    <w:lsdException w:qFormat="1" w:unhideWhenUsed="0"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name="List 3"/>
    <w:lsdException w:qFormat="1" w:unhideWhenUsed="0" w:uiPriority="0" w:name="List 4"/>
    <w:lsdException w:qFormat="1" w:unhideWhenUsed="0" w:uiPriority="0" w:name="List 5"/>
    <w:lsdException w:qFormat="1" w:unhideWhenUsed="0" w:uiPriority="0" w:semiHidden="0" w:name="List Bullet 2"/>
    <w:lsdException w:qFormat="1" w:unhideWhenUsed="0" w:uiPriority="7" w:semiHidden="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iPriority="1" w:semiHidden="0" w:name="Body Text"/>
    <w:lsdException w:qFormat="1" w:uiPriority="0" w:semiHidden="0" w:name="Body Text Indent"/>
    <w:lsdException w:qFormat="1" w:unhideWhenUsed="0" w:uiPriority="0" w:semiHidden="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iPriority="99" w:semiHidden="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99" w:semiHidden="0" w:name="Body Text 2"/>
    <w:lsdException w:qFormat="1" w:unhideWhenUsed="0" w:uiPriority="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name="E-mail Signature"/>
    <w:lsdException w:qFormat="1" w:unhideWhenUsed="0" w:uiPriority="99"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99" w:semiHidden="0" w:name="Balloon Text"/>
    <w:lsdException w:qFormat="1" w:unhideWhenUsed="0" w:uiPriority="59" w:semiHidden="0" w:name="Table Grid"/>
    <w:lsdException w:qFormat="1" w:unhideWhenUsed="0"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99"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40"/>
    <w:qFormat/>
    <w:uiPriority w:val="0"/>
    <w:pPr>
      <w:keepNext/>
      <w:keepLines/>
      <w:numPr>
        <w:ilvl w:val="0"/>
        <w:numId w:val="1"/>
      </w:numPr>
      <w:adjustRightInd w:val="0"/>
      <w:spacing w:before="340" w:after="330" w:line="578" w:lineRule="atLeast"/>
      <w:jc w:val="left"/>
      <w:textAlignment w:val="baseline"/>
      <w:outlineLvl w:val="0"/>
    </w:pPr>
    <w:rPr>
      <w:rFonts w:ascii="Calibri" w:hAnsi="Calibri" w:eastAsia="宋体"/>
      <w:b/>
      <w:bCs/>
      <w:kern w:val="44"/>
      <w:sz w:val="44"/>
      <w:szCs w:val="44"/>
    </w:rPr>
  </w:style>
  <w:style w:type="paragraph" w:styleId="4">
    <w:name w:val="heading 2"/>
    <w:basedOn w:val="1"/>
    <w:next w:val="1"/>
    <w:link w:val="241"/>
    <w:qFormat/>
    <w:uiPriority w:val="0"/>
    <w:pPr>
      <w:keepNext/>
      <w:keepLines/>
      <w:adjustRightInd w:val="0"/>
      <w:spacing w:before="260" w:after="260" w:line="416" w:lineRule="atLeast"/>
      <w:jc w:val="left"/>
      <w:textAlignment w:val="baseline"/>
      <w:outlineLvl w:val="1"/>
    </w:pPr>
    <w:rPr>
      <w:rFonts w:ascii="Arial" w:hAnsi="Arial" w:eastAsia="黑体" w:cstheme="majorBidi"/>
      <w:b/>
      <w:bCs/>
      <w:kern w:val="0"/>
      <w:sz w:val="32"/>
      <w:szCs w:val="32"/>
    </w:rPr>
  </w:style>
  <w:style w:type="paragraph" w:styleId="5">
    <w:name w:val="heading 3"/>
    <w:basedOn w:val="1"/>
    <w:next w:val="1"/>
    <w:link w:val="247"/>
    <w:qFormat/>
    <w:uiPriority w:val="9"/>
    <w:pPr>
      <w:keepNext/>
      <w:keepLines/>
      <w:spacing w:before="260" w:after="260" w:line="416" w:lineRule="auto"/>
      <w:outlineLvl w:val="2"/>
    </w:pPr>
    <w:rPr>
      <w:rFonts w:ascii="Times New Roman" w:hAnsi="Times New Roman" w:eastAsia="宋体"/>
      <w:b/>
      <w:bCs/>
      <w:sz w:val="32"/>
      <w:szCs w:val="32"/>
    </w:rPr>
  </w:style>
  <w:style w:type="paragraph" w:styleId="6">
    <w:name w:val="heading 4"/>
    <w:basedOn w:val="1"/>
    <w:next w:val="1"/>
    <w:link w:val="242"/>
    <w:qFormat/>
    <w:uiPriority w:val="0"/>
    <w:pPr>
      <w:keepNext/>
      <w:keepLines/>
      <w:adjustRightInd w:val="0"/>
      <w:spacing w:before="280" w:after="290" w:line="376" w:lineRule="atLeast"/>
      <w:jc w:val="left"/>
      <w:textAlignment w:val="baseline"/>
      <w:outlineLvl w:val="3"/>
    </w:pPr>
    <w:rPr>
      <w:rFonts w:ascii="Arial" w:hAnsi="Arial" w:eastAsia="黑体" w:cstheme="majorBidi"/>
      <w:b/>
      <w:bCs/>
      <w:kern w:val="0"/>
      <w:sz w:val="28"/>
      <w:szCs w:val="28"/>
    </w:rPr>
  </w:style>
  <w:style w:type="paragraph" w:styleId="7">
    <w:name w:val="heading 5"/>
    <w:basedOn w:val="1"/>
    <w:next w:val="1"/>
    <w:link w:val="248"/>
    <w:qFormat/>
    <w:uiPriority w:val="9"/>
    <w:pPr>
      <w:widowControl/>
      <w:numPr>
        <w:ilvl w:val="4"/>
        <w:numId w:val="2"/>
      </w:numPr>
      <w:spacing w:before="240" w:after="60" w:line="240" w:lineRule="atLeast"/>
      <w:contextualSpacing/>
      <w:jc w:val="left"/>
      <w:outlineLvl w:val="4"/>
    </w:pPr>
    <w:rPr>
      <w:rFonts w:asciiTheme="majorHAnsi" w:hAnsiTheme="majorHAnsi"/>
      <w:b/>
      <w:bCs/>
      <w:i/>
      <w:iCs/>
      <w:kern w:val="0"/>
      <w:sz w:val="26"/>
      <w:szCs w:val="26"/>
      <w:lang w:val="en-GB" w:eastAsia="en-GB"/>
    </w:rPr>
  </w:style>
  <w:style w:type="paragraph" w:styleId="8">
    <w:name w:val="heading 6"/>
    <w:basedOn w:val="1"/>
    <w:next w:val="1"/>
    <w:link w:val="249"/>
    <w:qFormat/>
    <w:uiPriority w:val="0"/>
    <w:pPr>
      <w:widowControl/>
      <w:numPr>
        <w:ilvl w:val="5"/>
        <w:numId w:val="2"/>
      </w:numPr>
      <w:spacing w:before="240" w:after="60" w:line="240" w:lineRule="atLeast"/>
      <w:contextualSpacing/>
      <w:jc w:val="left"/>
      <w:outlineLvl w:val="5"/>
    </w:pPr>
    <w:rPr>
      <w:rFonts w:asciiTheme="majorHAnsi" w:hAnsiTheme="majorHAnsi" w:cstheme="majorBidi"/>
      <w:b/>
      <w:bCs/>
      <w:kern w:val="0"/>
      <w:sz w:val="22"/>
      <w:lang w:val="en-GB" w:eastAsia="en-GB"/>
    </w:rPr>
  </w:style>
  <w:style w:type="paragraph" w:styleId="9">
    <w:name w:val="heading 7"/>
    <w:basedOn w:val="1"/>
    <w:next w:val="1"/>
    <w:link w:val="250"/>
    <w:semiHidden/>
    <w:qFormat/>
    <w:uiPriority w:val="0"/>
    <w:pPr>
      <w:widowControl/>
      <w:numPr>
        <w:ilvl w:val="6"/>
        <w:numId w:val="2"/>
      </w:numPr>
      <w:spacing w:before="240" w:after="60" w:line="240" w:lineRule="atLeast"/>
      <w:contextualSpacing/>
      <w:jc w:val="left"/>
      <w:outlineLvl w:val="6"/>
    </w:pPr>
    <w:rPr>
      <w:rFonts w:asciiTheme="majorHAnsi" w:hAnsiTheme="majorHAnsi"/>
      <w:kern w:val="0"/>
      <w:sz w:val="20"/>
      <w:szCs w:val="20"/>
      <w:lang w:val="en-GB" w:eastAsia="en-GB"/>
    </w:rPr>
  </w:style>
  <w:style w:type="paragraph" w:styleId="10">
    <w:name w:val="heading 8"/>
    <w:basedOn w:val="1"/>
    <w:next w:val="1"/>
    <w:link w:val="251"/>
    <w:semiHidden/>
    <w:qFormat/>
    <w:uiPriority w:val="0"/>
    <w:pPr>
      <w:widowControl/>
      <w:numPr>
        <w:ilvl w:val="7"/>
        <w:numId w:val="2"/>
      </w:numPr>
      <w:spacing w:before="240" w:after="60" w:line="240" w:lineRule="atLeast"/>
      <w:contextualSpacing/>
      <w:jc w:val="left"/>
      <w:outlineLvl w:val="7"/>
    </w:pPr>
    <w:rPr>
      <w:rFonts w:asciiTheme="majorHAnsi" w:hAnsiTheme="majorHAnsi" w:cstheme="majorBidi"/>
      <w:i/>
      <w:iCs/>
      <w:kern w:val="0"/>
      <w:sz w:val="20"/>
      <w:szCs w:val="20"/>
      <w:lang w:val="en-GB" w:eastAsia="en-GB"/>
    </w:rPr>
  </w:style>
  <w:style w:type="paragraph" w:styleId="11">
    <w:name w:val="heading 9"/>
    <w:basedOn w:val="1"/>
    <w:next w:val="1"/>
    <w:link w:val="252"/>
    <w:semiHidden/>
    <w:qFormat/>
    <w:uiPriority w:val="0"/>
    <w:pPr>
      <w:widowControl/>
      <w:tabs>
        <w:tab w:val="left" w:pos="1584"/>
      </w:tabs>
      <w:spacing w:before="240" w:after="60" w:line="240" w:lineRule="atLeast"/>
      <w:ind w:left="1584" w:hanging="144"/>
      <w:contextualSpacing/>
      <w:jc w:val="left"/>
      <w:outlineLvl w:val="8"/>
    </w:pPr>
    <w:rPr>
      <w:rFonts w:cs="Arial" w:asciiTheme="majorHAnsi" w:hAnsiTheme="majorHAnsi"/>
      <w:kern w:val="0"/>
      <w:sz w:val="22"/>
      <w:lang w:val="en-GB" w:eastAsia="en-GB"/>
    </w:rPr>
  </w:style>
  <w:style w:type="character" w:default="1" w:styleId="21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89"/>
    <w:semiHidden/>
    <w:qFormat/>
    <w:uiPriority w:val="0"/>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eastAsiaTheme="minorEastAsia"/>
      <w:lang w:val="en-GB" w:eastAsia="en-GB" w:bidi="ar-SA"/>
    </w:rPr>
  </w:style>
  <w:style w:type="paragraph" w:styleId="12">
    <w:name w:val="List 3"/>
    <w:basedOn w:val="1"/>
    <w:semiHidden/>
    <w:qFormat/>
    <w:uiPriority w:val="0"/>
    <w:pPr>
      <w:widowControl/>
      <w:spacing w:line="240" w:lineRule="atLeast"/>
      <w:ind w:left="849" w:hanging="283"/>
      <w:contextualSpacing/>
      <w:jc w:val="left"/>
    </w:pPr>
    <w:rPr>
      <w:rFonts w:cs="Times New Roman"/>
      <w:kern w:val="0"/>
      <w:sz w:val="20"/>
      <w:szCs w:val="20"/>
      <w:lang w:val="en-GB" w:eastAsia="en-GB"/>
    </w:rPr>
  </w:style>
  <w:style w:type="paragraph" w:styleId="13">
    <w:name w:val="toc 7"/>
    <w:basedOn w:val="1"/>
    <w:next w:val="1"/>
    <w:qFormat/>
    <w:uiPriority w:val="39"/>
    <w:pPr>
      <w:widowControl/>
      <w:spacing w:line="240" w:lineRule="atLeast"/>
      <w:ind w:left="1440"/>
      <w:contextualSpacing/>
      <w:jc w:val="left"/>
    </w:pPr>
    <w:rPr>
      <w:rFonts w:cs="Times New Roman"/>
      <w:kern w:val="0"/>
      <w:sz w:val="20"/>
      <w:szCs w:val="20"/>
      <w:lang w:val="en-GB" w:eastAsia="en-GB"/>
    </w:rPr>
  </w:style>
  <w:style w:type="paragraph" w:styleId="14">
    <w:name w:val="List Number 2"/>
    <w:basedOn w:val="1"/>
    <w:semiHidden/>
    <w:qFormat/>
    <w:uiPriority w:val="0"/>
    <w:pPr>
      <w:widowControl/>
      <w:numPr>
        <w:ilvl w:val="0"/>
        <w:numId w:val="3"/>
      </w:numPr>
      <w:spacing w:line="240" w:lineRule="atLeast"/>
      <w:contextualSpacing/>
      <w:jc w:val="left"/>
    </w:pPr>
    <w:rPr>
      <w:rFonts w:cs="Times New Roman"/>
      <w:kern w:val="0"/>
      <w:sz w:val="20"/>
      <w:szCs w:val="20"/>
      <w:lang w:val="en-GB" w:eastAsia="en-GB"/>
    </w:rPr>
  </w:style>
  <w:style w:type="paragraph" w:styleId="15">
    <w:name w:val="table of authorities"/>
    <w:basedOn w:val="1"/>
    <w:next w:val="1"/>
    <w:semiHidden/>
    <w:qFormat/>
    <w:uiPriority w:val="0"/>
    <w:pPr>
      <w:widowControl/>
      <w:spacing w:line="240" w:lineRule="atLeast"/>
      <w:ind w:left="240" w:hanging="240"/>
      <w:contextualSpacing/>
      <w:jc w:val="left"/>
    </w:pPr>
    <w:rPr>
      <w:rFonts w:cs="Times New Roman"/>
      <w:kern w:val="0"/>
      <w:sz w:val="20"/>
      <w:szCs w:val="20"/>
      <w:lang w:val="en-GB" w:eastAsia="en-GB"/>
    </w:rPr>
  </w:style>
  <w:style w:type="paragraph" w:styleId="16">
    <w:name w:val="Note Heading"/>
    <w:basedOn w:val="1"/>
    <w:next w:val="1"/>
    <w:link w:val="291"/>
    <w:semiHidden/>
    <w:qFormat/>
    <w:uiPriority w:val="0"/>
    <w:pPr>
      <w:widowControl/>
      <w:spacing w:line="240" w:lineRule="atLeast"/>
      <w:contextualSpacing/>
      <w:jc w:val="left"/>
    </w:pPr>
    <w:rPr>
      <w:rFonts w:cs="Times New Roman"/>
      <w:kern w:val="0"/>
      <w:sz w:val="20"/>
      <w:szCs w:val="20"/>
      <w:lang w:val="en-GB" w:eastAsia="en-GB"/>
    </w:rPr>
  </w:style>
  <w:style w:type="paragraph" w:styleId="17">
    <w:name w:val="List Bullet 4"/>
    <w:basedOn w:val="1"/>
    <w:semiHidden/>
    <w:qFormat/>
    <w:uiPriority w:val="0"/>
    <w:pPr>
      <w:widowControl/>
      <w:numPr>
        <w:ilvl w:val="0"/>
        <w:numId w:val="4"/>
      </w:numPr>
      <w:spacing w:line="240" w:lineRule="atLeast"/>
      <w:contextualSpacing/>
      <w:jc w:val="left"/>
    </w:pPr>
    <w:rPr>
      <w:rFonts w:cs="Times New Roman"/>
      <w:kern w:val="0"/>
      <w:sz w:val="20"/>
      <w:szCs w:val="20"/>
      <w:lang w:val="en-GB" w:eastAsia="en-GB"/>
    </w:rPr>
  </w:style>
  <w:style w:type="paragraph" w:styleId="18">
    <w:name w:val="index 8"/>
    <w:basedOn w:val="1"/>
    <w:next w:val="1"/>
    <w:semiHidden/>
    <w:qFormat/>
    <w:uiPriority w:val="0"/>
    <w:pPr>
      <w:widowControl/>
      <w:spacing w:line="240" w:lineRule="atLeast"/>
      <w:ind w:left="1920" w:hanging="240"/>
      <w:contextualSpacing/>
      <w:jc w:val="left"/>
    </w:pPr>
    <w:rPr>
      <w:rFonts w:cs="Times New Roman"/>
      <w:kern w:val="0"/>
      <w:sz w:val="20"/>
      <w:szCs w:val="20"/>
      <w:lang w:val="en-GB" w:eastAsia="en-GB"/>
    </w:rPr>
  </w:style>
  <w:style w:type="paragraph" w:styleId="19">
    <w:name w:val="E-mail Signature"/>
    <w:basedOn w:val="1"/>
    <w:link w:val="284"/>
    <w:semiHidden/>
    <w:qFormat/>
    <w:uiPriority w:val="0"/>
    <w:pPr>
      <w:widowControl/>
      <w:spacing w:line="240" w:lineRule="atLeast"/>
      <w:contextualSpacing/>
      <w:jc w:val="left"/>
    </w:pPr>
    <w:rPr>
      <w:rFonts w:cs="Times New Roman"/>
      <w:kern w:val="0"/>
      <w:sz w:val="20"/>
      <w:szCs w:val="20"/>
      <w:lang w:val="en-GB" w:eastAsia="en-GB"/>
    </w:rPr>
  </w:style>
  <w:style w:type="paragraph" w:styleId="20">
    <w:name w:val="List Number"/>
    <w:basedOn w:val="1"/>
    <w:qFormat/>
    <w:uiPriority w:val="0"/>
    <w:pPr>
      <w:widowControl/>
      <w:numPr>
        <w:ilvl w:val="0"/>
        <w:numId w:val="5"/>
      </w:numPr>
      <w:spacing w:line="240" w:lineRule="atLeast"/>
      <w:contextualSpacing/>
      <w:jc w:val="left"/>
    </w:pPr>
    <w:rPr>
      <w:rFonts w:cs="Times New Roman"/>
      <w:kern w:val="0"/>
      <w:sz w:val="20"/>
      <w:szCs w:val="20"/>
      <w:lang w:val="en-GB" w:eastAsia="en-GB"/>
    </w:rPr>
  </w:style>
  <w:style w:type="paragraph" w:styleId="21">
    <w:name w:val="Normal Indent"/>
    <w:basedOn w:val="1"/>
    <w:link w:val="527"/>
    <w:qFormat/>
    <w:uiPriority w:val="0"/>
    <w:pPr>
      <w:widowControl/>
      <w:spacing w:line="240" w:lineRule="atLeast"/>
      <w:ind w:left="720"/>
      <w:contextualSpacing/>
      <w:jc w:val="left"/>
    </w:pPr>
    <w:rPr>
      <w:rFonts w:cs="Times New Roman"/>
      <w:kern w:val="0"/>
      <w:sz w:val="20"/>
      <w:szCs w:val="20"/>
      <w:lang w:val="en-GB" w:eastAsia="en-GB"/>
    </w:rPr>
  </w:style>
  <w:style w:type="paragraph" w:styleId="22">
    <w:name w:val="caption"/>
    <w:next w:val="1"/>
    <w:semiHidden/>
    <w:qFormat/>
    <w:uiPriority w:val="8"/>
    <w:pPr>
      <w:pBdr>
        <w:left w:val="single" w:color="EEECE1" w:themeColor="background2" w:sz="12" w:space="4"/>
        <w:bottom w:val="single" w:color="FFFFFF" w:sz="12" w:space="1"/>
        <w:right w:val="single" w:color="EEECE1" w:themeColor="background2" w:sz="12" w:space="4"/>
      </w:pBdr>
      <w:shd w:val="clear" w:color="auto" w:fill="EEECE1" w:themeFill="background2"/>
      <w:spacing w:line="180" w:lineRule="atLeast"/>
      <w:ind w:left="-23" w:right="23"/>
    </w:pPr>
    <w:rPr>
      <w:rFonts w:ascii="Arial" w:hAnsi="Arial" w:eastAsiaTheme="minorEastAsia" w:cstheme="majorBidi"/>
      <w:b/>
      <w:bCs/>
      <w:color w:val="FFFFFF"/>
      <w:sz w:val="18"/>
      <w:lang w:val="en-GB" w:eastAsia="en-GB" w:bidi="ar-SA"/>
    </w:rPr>
  </w:style>
  <w:style w:type="paragraph" w:styleId="23">
    <w:name w:val="index 5"/>
    <w:basedOn w:val="1"/>
    <w:next w:val="1"/>
    <w:semiHidden/>
    <w:qFormat/>
    <w:uiPriority w:val="0"/>
    <w:pPr>
      <w:widowControl/>
      <w:spacing w:line="240" w:lineRule="atLeast"/>
      <w:ind w:left="1200" w:hanging="240"/>
      <w:contextualSpacing/>
      <w:jc w:val="left"/>
    </w:pPr>
    <w:rPr>
      <w:rFonts w:cs="Times New Roman"/>
      <w:kern w:val="0"/>
      <w:sz w:val="20"/>
      <w:szCs w:val="20"/>
      <w:lang w:val="en-GB" w:eastAsia="en-GB"/>
    </w:rPr>
  </w:style>
  <w:style w:type="paragraph" w:styleId="24">
    <w:name w:val="List Bullet"/>
    <w:link w:val="372"/>
    <w:qFormat/>
    <w:uiPriority w:val="0"/>
    <w:pPr>
      <w:numPr>
        <w:ilvl w:val="0"/>
        <w:numId w:val="6"/>
      </w:numPr>
      <w:spacing w:after="120" w:line="240" w:lineRule="atLeast"/>
    </w:pPr>
    <w:rPr>
      <w:rFonts w:cs="Times New Roman" w:asciiTheme="minorHAnsi" w:hAnsiTheme="minorHAnsi" w:eastAsiaTheme="minorEastAsia"/>
      <w:lang w:val="en-GB" w:eastAsia="en-GB" w:bidi="ar-SA"/>
    </w:rPr>
  </w:style>
  <w:style w:type="paragraph" w:styleId="25">
    <w:name w:val="envelope address"/>
    <w:basedOn w:val="1"/>
    <w:semiHidden/>
    <w:qFormat/>
    <w:uiPriority w:val="0"/>
    <w:pPr>
      <w:framePr w:w="7920" w:h="1980" w:hRule="exact" w:hSpace="180" w:wrap="around" w:vAnchor="margin" w:hAnchor="page" w:xAlign="center" w:yAlign="bottom"/>
      <w:widowControl/>
      <w:spacing w:line="240" w:lineRule="atLeast"/>
      <w:ind w:left="2880"/>
      <w:contextualSpacing/>
      <w:jc w:val="left"/>
    </w:pPr>
    <w:rPr>
      <w:rFonts w:cs="Arial"/>
      <w:kern w:val="0"/>
      <w:sz w:val="20"/>
      <w:szCs w:val="20"/>
      <w:lang w:val="en-GB" w:eastAsia="en-GB"/>
    </w:rPr>
  </w:style>
  <w:style w:type="paragraph" w:styleId="26">
    <w:name w:val="Document Map"/>
    <w:basedOn w:val="1"/>
    <w:link w:val="245"/>
    <w:unhideWhenUsed/>
    <w:qFormat/>
    <w:uiPriority w:val="99"/>
    <w:rPr>
      <w:rFonts w:ascii="宋体" w:eastAsia="宋体"/>
      <w:sz w:val="18"/>
      <w:szCs w:val="18"/>
    </w:rPr>
  </w:style>
  <w:style w:type="paragraph" w:styleId="27">
    <w:name w:val="toa heading"/>
    <w:basedOn w:val="1"/>
    <w:next w:val="1"/>
    <w:semiHidden/>
    <w:qFormat/>
    <w:uiPriority w:val="0"/>
    <w:pPr>
      <w:widowControl/>
      <w:spacing w:before="120" w:line="240" w:lineRule="atLeast"/>
      <w:contextualSpacing/>
      <w:jc w:val="left"/>
    </w:pPr>
    <w:rPr>
      <w:rFonts w:cs="Arial"/>
      <w:b/>
      <w:bCs/>
      <w:kern w:val="0"/>
      <w:sz w:val="20"/>
      <w:szCs w:val="20"/>
      <w:lang w:val="en-GB" w:eastAsia="en-GB"/>
    </w:rPr>
  </w:style>
  <w:style w:type="paragraph" w:styleId="28">
    <w:name w:val="annotation text"/>
    <w:basedOn w:val="1"/>
    <w:link w:val="282"/>
    <w:qFormat/>
    <w:uiPriority w:val="0"/>
    <w:pPr>
      <w:widowControl/>
      <w:spacing w:line="240" w:lineRule="atLeast"/>
      <w:contextualSpacing/>
      <w:jc w:val="left"/>
    </w:pPr>
    <w:rPr>
      <w:rFonts w:cs="Times New Roman"/>
      <w:kern w:val="0"/>
      <w:sz w:val="20"/>
      <w:szCs w:val="20"/>
      <w:lang w:val="en-GB" w:eastAsia="en-GB"/>
    </w:rPr>
  </w:style>
  <w:style w:type="paragraph" w:styleId="29">
    <w:name w:val="index 6"/>
    <w:basedOn w:val="1"/>
    <w:next w:val="1"/>
    <w:semiHidden/>
    <w:qFormat/>
    <w:uiPriority w:val="0"/>
    <w:pPr>
      <w:widowControl/>
      <w:spacing w:line="240" w:lineRule="atLeast"/>
      <w:ind w:left="1440" w:hanging="240"/>
      <w:contextualSpacing/>
      <w:jc w:val="left"/>
    </w:pPr>
    <w:rPr>
      <w:rFonts w:cs="Times New Roman"/>
      <w:kern w:val="0"/>
      <w:sz w:val="20"/>
      <w:szCs w:val="20"/>
      <w:lang w:val="en-GB" w:eastAsia="en-GB"/>
    </w:rPr>
  </w:style>
  <w:style w:type="paragraph" w:styleId="30">
    <w:name w:val="Salutation"/>
    <w:basedOn w:val="1"/>
    <w:next w:val="1"/>
    <w:link w:val="292"/>
    <w:semiHidden/>
    <w:qFormat/>
    <w:uiPriority w:val="0"/>
    <w:pPr>
      <w:widowControl/>
      <w:spacing w:line="240" w:lineRule="atLeast"/>
      <w:contextualSpacing/>
      <w:jc w:val="left"/>
    </w:pPr>
    <w:rPr>
      <w:rFonts w:cs="Times New Roman"/>
      <w:kern w:val="0"/>
      <w:sz w:val="20"/>
      <w:szCs w:val="20"/>
      <w:lang w:val="en-GB" w:eastAsia="en-GB"/>
    </w:rPr>
  </w:style>
  <w:style w:type="paragraph" w:styleId="31">
    <w:name w:val="Body Text 3"/>
    <w:basedOn w:val="1"/>
    <w:link w:val="276"/>
    <w:semiHidden/>
    <w:qFormat/>
    <w:uiPriority w:val="0"/>
    <w:pPr>
      <w:widowControl/>
      <w:spacing w:after="120" w:line="240" w:lineRule="atLeast"/>
      <w:contextualSpacing/>
      <w:jc w:val="left"/>
    </w:pPr>
    <w:rPr>
      <w:rFonts w:cs="Times New Roman"/>
      <w:kern w:val="0"/>
      <w:sz w:val="16"/>
      <w:szCs w:val="16"/>
      <w:lang w:val="en-GB" w:eastAsia="en-GB"/>
    </w:rPr>
  </w:style>
  <w:style w:type="paragraph" w:styleId="32">
    <w:name w:val="Closing"/>
    <w:basedOn w:val="1"/>
    <w:link w:val="281"/>
    <w:semiHidden/>
    <w:qFormat/>
    <w:uiPriority w:val="0"/>
    <w:pPr>
      <w:widowControl/>
      <w:spacing w:line="240" w:lineRule="atLeast"/>
      <w:ind w:left="4252"/>
      <w:contextualSpacing/>
      <w:jc w:val="left"/>
    </w:pPr>
    <w:rPr>
      <w:rFonts w:cs="Times New Roman"/>
      <w:kern w:val="0"/>
      <w:sz w:val="20"/>
      <w:szCs w:val="20"/>
      <w:lang w:val="en-GB" w:eastAsia="en-GB"/>
    </w:rPr>
  </w:style>
  <w:style w:type="paragraph" w:styleId="33">
    <w:name w:val="List Bullet 3"/>
    <w:basedOn w:val="1"/>
    <w:qFormat/>
    <w:uiPriority w:val="7"/>
    <w:pPr>
      <w:widowControl/>
      <w:numPr>
        <w:ilvl w:val="2"/>
        <w:numId w:val="6"/>
      </w:numPr>
      <w:spacing w:after="220" w:line="220" w:lineRule="atLeast"/>
      <w:contextualSpacing/>
      <w:jc w:val="left"/>
    </w:pPr>
    <w:rPr>
      <w:rFonts w:cs="Times New Roman"/>
      <w:kern w:val="0"/>
      <w:sz w:val="18"/>
      <w:szCs w:val="20"/>
      <w:lang w:val="en-GB" w:eastAsia="en-GB"/>
    </w:rPr>
  </w:style>
  <w:style w:type="paragraph" w:styleId="34">
    <w:name w:val="Body Text"/>
    <w:basedOn w:val="1"/>
    <w:link w:val="231"/>
    <w:unhideWhenUsed/>
    <w:qFormat/>
    <w:uiPriority w:val="1"/>
    <w:pPr>
      <w:widowControl/>
      <w:spacing w:after="120"/>
      <w:jc w:val="left"/>
    </w:pPr>
    <w:rPr>
      <w:rFonts w:ascii="Garamond" w:hAnsi="Garamond" w:eastAsia="PMingLiU" w:cs="Arial"/>
      <w:kern w:val="0"/>
      <w:sz w:val="22"/>
      <w:szCs w:val="20"/>
      <w:lang w:val="en-GB" w:eastAsia="en-US"/>
    </w:rPr>
  </w:style>
  <w:style w:type="paragraph" w:styleId="35">
    <w:name w:val="Body Text Indent"/>
    <w:basedOn w:val="1"/>
    <w:link w:val="261"/>
    <w:unhideWhenUsed/>
    <w:qFormat/>
    <w:uiPriority w:val="0"/>
    <w:pPr>
      <w:spacing w:after="120"/>
      <w:ind w:left="420" w:leftChars="200"/>
    </w:pPr>
  </w:style>
  <w:style w:type="paragraph" w:styleId="36">
    <w:name w:val="List Number 3"/>
    <w:basedOn w:val="1"/>
    <w:semiHidden/>
    <w:qFormat/>
    <w:uiPriority w:val="0"/>
    <w:pPr>
      <w:widowControl/>
      <w:numPr>
        <w:ilvl w:val="0"/>
        <w:numId w:val="7"/>
      </w:numPr>
      <w:spacing w:line="240" w:lineRule="atLeast"/>
      <w:contextualSpacing/>
      <w:jc w:val="left"/>
    </w:pPr>
    <w:rPr>
      <w:rFonts w:cs="Times New Roman"/>
      <w:kern w:val="0"/>
      <w:sz w:val="20"/>
      <w:szCs w:val="20"/>
      <w:lang w:val="en-GB" w:eastAsia="en-GB"/>
    </w:rPr>
  </w:style>
  <w:style w:type="paragraph" w:styleId="37">
    <w:name w:val="List 2"/>
    <w:basedOn w:val="1"/>
    <w:qFormat/>
    <w:uiPriority w:val="0"/>
    <w:pPr>
      <w:widowControl/>
      <w:spacing w:line="240" w:lineRule="atLeast"/>
      <w:ind w:left="566" w:hanging="283"/>
      <w:contextualSpacing/>
      <w:jc w:val="left"/>
    </w:pPr>
    <w:rPr>
      <w:rFonts w:cs="Times New Roman"/>
      <w:kern w:val="0"/>
      <w:sz w:val="20"/>
      <w:szCs w:val="20"/>
      <w:lang w:val="en-GB" w:eastAsia="en-GB"/>
    </w:rPr>
  </w:style>
  <w:style w:type="paragraph" w:styleId="38">
    <w:name w:val="List Continue"/>
    <w:basedOn w:val="1"/>
    <w:qFormat/>
    <w:uiPriority w:val="0"/>
    <w:pPr>
      <w:widowControl/>
      <w:spacing w:after="120" w:line="240" w:lineRule="atLeast"/>
      <w:ind w:left="283"/>
      <w:contextualSpacing/>
      <w:jc w:val="left"/>
    </w:pPr>
    <w:rPr>
      <w:rFonts w:cs="Times New Roman"/>
      <w:kern w:val="0"/>
      <w:sz w:val="20"/>
      <w:szCs w:val="20"/>
      <w:lang w:val="en-GB" w:eastAsia="en-GB"/>
    </w:rPr>
  </w:style>
  <w:style w:type="paragraph" w:styleId="39">
    <w:name w:val="Block Text"/>
    <w:basedOn w:val="1"/>
    <w:semiHidden/>
    <w:qFormat/>
    <w:uiPriority w:val="0"/>
    <w:pPr>
      <w:widowControl/>
      <w:spacing w:after="120" w:line="240" w:lineRule="atLeast"/>
      <w:ind w:left="1440" w:right="1440"/>
      <w:contextualSpacing/>
      <w:jc w:val="left"/>
    </w:pPr>
    <w:rPr>
      <w:rFonts w:cs="Times New Roman"/>
      <w:kern w:val="0"/>
      <w:sz w:val="20"/>
      <w:szCs w:val="20"/>
      <w:lang w:val="en-GB" w:eastAsia="en-GB"/>
    </w:rPr>
  </w:style>
  <w:style w:type="paragraph" w:styleId="40">
    <w:name w:val="List Bullet 2"/>
    <w:qFormat/>
    <w:uiPriority w:val="0"/>
    <w:pPr>
      <w:numPr>
        <w:ilvl w:val="1"/>
        <w:numId w:val="6"/>
      </w:numPr>
      <w:spacing w:after="120" w:line="160" w:lineRule="atLeast"/>
      <w:contextualSpacing/>
    </w:pPr>
    <w:rPr>
      <w:rFonts w:ascii="Arial" w:hAnsi="Arial" w:cs="Times New Roman" w:eastAsiaTheme="minorEastAsia"/>
      <w:sz w:val="14"/>
      <w:lang w:val="en-GB" w:eastAsia="en-GB" w:bidi="ar-SA"/>
    </w:rPr>
  </w:style>
  <w:style w:type="paragraph" w:styleId="41">
    <w:name w:val="HTML Address"/>
    <w:basedOn w:val="1"/>
    <w:link w:val="287"/>
    <w:semiHidden/>
    <w:qFormat/>
    <w:uiPriority w:val="0"/>
    <w:pPr>
      <w:widowControl/>
      <w:spacing w:line="240" w:lineRule="atLeast"/>
      <w:contextualSpacing/>
      <w:jc w:val="left"/>
    </w:pPr>
    <w:rPr>
      <w:rFonts w:cs="Times New Roman"/>
      <w:i/>
      <w:iCs/>
      <w:kern w:val="0"/>
      <w:sz w:val="20"/>
      <w:szCs w:val="20"/>
      <w:lang w:val="en-GB" w:eastAsia="en-GB"/>
    </w:rPr>
  </w:style>
  <w:style w:type="paragraph" w:styleId="42">
    <w:name w:val="index 4"/>
    <w:basedOn w:val="1"/>
    <w:next w:val="1"/>
    <w:semiHidden/>
    <w:qFormat/>
    <w:uiPriority w:val="0"/>
    <w:pPr>
      <w:widowControl/>
      <w:spacing w:line="240" w:lineRule="atLeast"/>
      <w:ind w:left="960" w:hanging="240"/>
      <w:contextualSpacing/>
      <w:jc w:val="left"/>
    </w:pPr>
    <w:rPr>
      <w:rFonts w:cs="Times New Roman"/>
      <w:kern w:val="0"/>
      <w:sz w:val="20"/>
      <w:szCs w:val="20"/>
      <w:lang w:val="en-GB" w:eastAsia="en-GB"/>
    </w:rPr>
  </w:style>
  <w:style w:type="paragraph" w:styleId="43">
    <w:name w:val="toc 5"/>
    <w:basedOn w:val="1"/>
    <w:next w:val="1"/>
    <w:qFormat/>
    <w:uiPriority w:val="39"/>
    <w:pPr>
      <w:widowControl/>
      <w:spacing w:line="240" w:lineRule="atLeast"/>
      <w:ind w:left="960"/>
      <w:contextualSpacing/>
      <w:jc w:val="left"/>
    </w:pPr>
    <w:rPr>
      <w:rFonts w:cs="Times New Roman"/>
      <w:kern w:val="0"/>
      <w:sz w:val="20"/>
      <w:szCs w:val="20"/>
      <w:lang w:val="en-GB" w:eastAsia="en-GB"/>
    </w:rPr>
  </w:style>
  <w:style w:type="paragraph" w:styleId="44">
    <w:name w:val="toc 3"/>
    <w:basedOn w:val="1"/>
    <w:next w:val="1"/>
    <w:unhideWhenUsed/>
    <w:qFormat/>
    <w:uiPriority w:val="39"/>
    <w:pPr>
      <w:ind w:left="840" w:leftChars="400"/>
    </w:pPr>
  </w:style>
  <w:style w:type="paragraph" w:styleId="45">
    <w:name w:val="Plain Text"/>
    <w:basedOn w:val="1"/>
    <w:link w:val="243"/>
    <w:qFormat/>
    <w:uiPriority w:val="0"/>
    <w:rPr>
      <w:rFonts w:ascii="宋体" w:hAnsi="Courier New" w:eastAsia="宋体" w:cs="Times New Roman"/>
      <w:szCs w:val="21"/>
    </w:rPr>
  </w:style>
  <w:style w:type="paragraph" w:styleId="46">
    <w:name w:val="List Bullet 5"/>
    <w:basedOn w:val="1"/>
    <w:semiHidden/>
    <w:qFormat/>
    <w:uiPriority w:val="0"/>
    <w:pPr>
      <w:widowControl/>
      <w:numPr>
        <w:ilvl w:val="0"/>
        <w:numId w:val="8"/>
      </w:numPr>
      <w:spacing w:line="240" w:lineRule="atLeast"/>
      <w:contextualSpacing/>
      <w:jc w:val="left"/>
    </w:pPr>
    <w:rPr>
      <w:rFonts w:cs="Times New Roman"/>
      <w:kern w:val="0"/>
      <w:sz w:val="20"/>
      <w:szCs w:val="20"/>
      <w:lang w:val="en-GB" w:eastAsia="en-GB"/>
    </w:rPr>
  </w:style>
  <w:style w:type="paragraph" w:styleId="47">
    <w:name w:val="List Number 4"/>
    <w:basedOn w:val="1"/>
    <w:semiHidden/>
    <w:qFormat/>
    <w:uiPriority w:val="0"/>
    <w:pPr>
      <w:widowControl/>
      <w:numPr>
        <w:ilvl w:val="0"/>
        <w:numId w:val="9"/>
      </w:numPr>
      <w:spacing w:line="240" w:lineRule="atLeast"/>
      <w:contextualSpacing/>
      <w:jc w:val="left"/>
    </w:pPr>
    <w:rPr>
      <w:rFonts w:cs="Times New Roman"/>
      <w:kern w:val="0"/>
      <w:sz w:val="20"/>
      <w:szCs w:val="20"/>
      <w:lang w:val="en-GB" w:eastAsia="en-GB"/>
    </w:rPr>
  </w:style>
  <w:style w:type="paragraph" w:styleId="48">
    <w:name w:val="toc 8"/>
    <w:basedOn w:val="1"/>
    <w:next w:val="1"/>
    <w:qFormat/>
    <w:uiPriority w:val="39"/>
    <w:pPr>
      <w:widowControl/>
      <w:spacing w:line="240" w:lineRule="atLeast"/>
      <w:ind w:left="1680"/>
      <w:contextualSpacing/>
      <w:jc w:val="left"/>
    </w:pPr>
    <w:rPr>
      <w:rFonts w:cs="Times New Roman"/>
      <w:kern w:val="0"/>
      <w:sz w:val="20"/>
      <w:szCs w:val="20"/>
      <w:lang w:val="en-GB" w:eastAsia="en-GB"/>
    </w:rPr>
  </w:style>
  <w:style w:type="paragraph" w:styleId="49">
    <w:name w:val="index 3"/>
    <w:basedOn w:val="1"/>
    <w:next w:val="1"/>
    <w:semiHidden/>
    <w:qFormat/>
    <w:uiPriority w:val="0"/>
    <w:pPr>
      <w:widowControl/>
      <w:spacing w:line="240" w:lineRule="atLeast"/>
      <w:ind w:left="720" w:hanging="240"/>
      <w:contextualSpacing/>
      <w:jc w:val="left"/>
    </w:pPr>
    <w:rPr>
      <w:rFonts w:cs="Times New Roman"/>
      <w:kern w:val="0"/>
      <w:sz w:val="20"/>
      <w:szCs w:val="20"/>
      <w:lang w:val="en-GB" w:eastAsia="en-GB"/>
    </w:rPr>
  </w:style>
  <w:style w:type="paragraph" w:styleId="50">
    <w:name w:val="Date"/>
    <w:basedOn w:val="1"/>
    <w:next w:val="1"/>
    <w:link w:val="267"/>
    <w:unhideWhenUsed/>
    <w:qFormat/>
    <w:uiPriority w:val="99"/>
    <w:pPr>
      <w:ind w:left="100" w:leftChars="2500"/>
    </w:pPr>
  </w:style>
  <w:style w:type="paragraph" w:styleId="51">
    <w:name w:val="Body Text Indent 2"/>
    <w:basedOn w:val="1"/>
    <w:link w:val="279"/>
    <w:qFormat/>
    <w:uiPriority w:val="0"/>
    <w:pPr>
      <w:widowControl/>
      <w:spacing w:after="120" w:line="480" w:lineRule="auto"/>
      <w:ind w:left="283"/>
      <w:contextualSpacing/>
      <w:jc w:val="left"/>
    </w:pPr>
    <w:rPr>
      <w:rFonts w:cs="Times New Roman"/>
      <w:kern w:val="0"/>
      <w:sz w:val="20"/>
      <w:szCs w:val="20"/>
      <w:lang w:val="en-GB" w:eastAsia="en-GB"/>
    </w:rPr>
  </w:style>
  <w:style w:type="paragraph" w:styleId="52">
    <w:name w:val="endnote text"/>
    <w:basedOn w:val="1"/>
    <w:link w:val="285"/>
    <w:qFormat/>
    <w:uiPriority w:val="0"/>
    <w:pPr>
      <w:widowControl/>
      <w:spacing w:line="240" w:lineRule="atLeast"/>
      <w:contextualSpacing/>
      <w:jc w:val="left"/>
    </w:pPr>
    <w:rPr>
      <w:rFonts w:cs="Times New Roman"/>
      <w:kern w:val="0"/>
      <w:sz w:val="20"/>
      <w:szCs w:val="20"/>
      <w:lang w:val="en-GB" w:eastAsia="en-GB"/>
    </w:rPr>
  </w:style>
  <w:style w:type="paragraph" w:styleId="53">
    <w:name w:val="List Continue 5"/>
    <w:basedOn w:val="1"/>
    <w:semiHidden/>
    <w:qFormat/>
    <w:uiPriority w:val="0"/>
    <w:pPr>
      <w:widowControl/>
      <w:spacing w:after="120" w:line="240" w:lineRule="atLeast"/>
      <w:ind w:left="1415"/>
      <w:contextualSpacing/>
      <w:jc w:val="left"/>
    </w:pPr>
    <w:rPr>
      <w:rFonts w:cs="Times New Roman"/>
      <w:kern w:val="0"/>
      <w:sz w:val="20"/>
      <w:szCs w:val="20"/>
      <w:lang w:val="en-GB" w:eastAsia="en-GB"/>
    </w:rPr>
  </w:style>
  <w:style w:type="paragraph" w:styleId="54">
    <w:name w:val="Balloon Text"/>
    <w:basedOn w:val="1"/>
    <w:link w:val="253"/>
    <w:unhideWhenUsed/>
    <w:qFormat/>
    <w:uiPriority w:val="99"/>
    <w:rPr>
      <w:sz w:val="18"/>
      <w:szCs w:val="18"/>
    </w:rPr>
  </w:style>
  <w:style w:type="paragraph" w:styleId="55">
    <w:name w:val="footer"/>
    <w:basedOn w:val="1"/>
    <w:link w:val="230"/>
    <w:unhideWhenUsed/>
    <w:qFormat/>
    <w:uiPriority w:val="99"/>
    <w:pPr>
      <w:tabs>
        <w:tab w:val="center" w:pos="4153"/>
        <w:tab w:val="right" w:pos="8306"/>
      </w:tabs>
      <w:snapToGrid w:val="0"/>
      <w:jc w:val="left"/>
    </w:pPr>
    <w:rPr>
      <w:sz w:val="18"/>
      <w:szCs w:val="18"/>
    </w:rPr>
  </w:style>
  <w:style w:type="paragraph" w:styleId="56">
    <w:name w:val="envelope return"/>
    <w:basedOn w:val="1"/>
    <w:semiHidden/>
    <w:qFormat/>
    <w:uiPriority w:val="0"/>
    <w:pPr>
      <w:widowControl/>
      <w:spacing w:line="240" w:lineRule="atLeast"/>
      <w:contextualSpacing/>
      <w:jc w:val="left"/>
    </w:pPr>
    <w:rPr>
      <w:rFonts w:cs="Arial"/>
      <w:kern w:val="0"/>
      <w:sz w:val="20"/>
      <w:szCs w:val="20"/>
      <w:lang w:val="en-GB" w:eastAsia="en-GB"/>
    </w:rPr>
  </w:style>
  <w:style w:type="paragraph" w:styleId="57">
    <w:name w:val="header"/>
    <w:basedOn w:val="1"/>
    <w:link w:val="229"/>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93"/>
    <w:semiHidden/>
    <w:qFormat/>
    <w:uiPriority w:val="0"/>
    <w:pPr>
      <w:widowControl/>
      <w:spacing w:line="240" w:lineRule="atLeast"/>
      <w:ind w:left="4252"/>
      <w:contextualSpacing/>
      <w:jc w:val="left"/>
    </w:pPr>
    <w:rPr>
      <w:rFonts w:cs="Times New Roman"/>
      <w:kern w:val="0"/>
      <w:sz w:val="20"/>
      <w:szCs w:val="20"/>
      <w:lang w:val="en-GB" w:eastAsia="en-GB"/>
    </w:rPr>
  </w:style>
  <w:style w:type="paragraph" w:styleId="59">
    <w:name w:val="toc 1"/>
    <w:basedOn w:val="1"/>
    <w:next w:val="1"/>
    <w:unhideWhenUsed/>
    <w:qFormat/>
    <w:uiPriority w:val="39"/>
    <w:pPr>
      <w:jc w:val="center"/>
    </w:pPr>
  </w:style>
  <w:style w:type="paragraph" w:styleId="60">
    <w:name w:val="List Continue 4"/>
    <w:basedOn w:val="1"/>
    <w:semiHidden/>
    <w:qFormat/>
    <w:uiPriority w:val="0"/>
    <w:pPr>
      <w:widowControl/>
      <w:spacing w:after="120" w:line="240" w:lineRule="atLeast"/>
      <w:ind w:left="1132"/>
      <w:contextualSpacing/>
      <w:jc w:val="left"/>
    </w:pPr>
    <w:rPr>
      <w:rFonts w:cs="Times New Roman"/>
      <w:kern w:val="0"/>
      <w:sz w:val="20"/>
      <w:szCs w:val="20"/>
      <w:lang w:val="en-GB" w:eastAsia="en-GB"/>
    </w:rPr>
  </w:style>
  <w:style w:type="paragraph" w:styleId="61">
    <w:name w:val="toc 4"/>
    <w:basedOn w:val="1"/>
    <w:next w:val="1"/>
    <w:qFormat/>
    <w:uiPriority w:val="39"/>
    <w:pPr>
      <w:widowControl/>
      <w:spacing w:line="240" w:lineRule="atLeast"/>
      <w:ind w:left="720"/>
      <w:contextualSpacing/>
      <w:jc w:val="left"/>
    </w:pPr>
    <w:rPr>
      <w:rFonts w:cs="Times New Roman"/>
      <w:kern w:val="0"/>
      <w:sz w:val="20"/>
      <w:szCs w:val="20"/>
      <w:lang w:val="en-GB" w:eastAsia="en-GB"/>
    </w:rPr>
  </w:style>
  <w:style w:type="paragraph" w:styleId="62">
    <w:name w:val="index heading"/>
    <w:basedOn w:val="1"/>
    <w:next w:val="63"/>
    <w:semiHidden/>
    <w:qFormat/>
    <w:uiPriority w:val="0"/>
    <w:pPr>
      <w:widowControl/>
      <w:spacing w:line="240" w:lineRule="atLeast"/>
      <w:contextualSpacing/>
      <w:jc w:val="left"/>
    </w:pPr>
    <w:rPr>
      <w:rFonts w:cs="Arial"/>
      <w:b/>
      <w:bCs/>
      <w:kern w:val="0"/>
      <w:sz w:val="20"/>
      <w:szCs w:val="20"/>
      <w:lang w:val="en-GB" w:eastAsia="en-GB"/>
    </w:rPr>
  </w:style>
  <w:style w:type="paragraph" w:styleId="63">
    <w:name w:val="index 1"/>
    <w:basedOn w:val="1"/>
    <w:next w:val="1"/>
    <w:qFormat/>
    <w:uiPriority w:val="0"/>
    <w:pPr>
      <w:widowControl/>
      <w:spacing w:line="240" w:lineRule="atLeast"/>
      <w:ind w:left="240" w:hanging="240"/>
      <w:contextualSpacing/>
      <w:jc w:val="left"/>
    </w:pPr>
    <w:rPr>
      <w:rFonts w:cs="Times New Roman"/>
      <w:kern w:val="0"/>
      <w:sz w:val="20"/>
      <w:szCs w:val="20"/>
      <w:lang w:val="en-GB" w:eastAsia="en-GB"/>
    </w:rPr>
  </w:style>
  <w:style w:type="paragraph" w:styleId="64">
    <w:name w:val="Subtitle"/>
    <w:link w:val="294"/>
    <w:qFormat/>
    <w:uiPriority w:val="0"/>
    <w:pPr>
      <w:spacing w:line="360" w:lineRule="atLeast"/>
    </w:pPr>
    <w:rPr>
      <w:rFonts w:cs="Arial" w:asciiTheme="minorHAnsi" w:hAnsiTheme="minorHAnsi" w:eastAsiaTheme="minorEastAsia"/>
      <w:sz w:val="36"/>
      <w:lang w:val="en-GB" w:eastAsia="en-GB" w:bidi="ar-SA"/>
    </w:rPr>
  </w:style>
  <w:style w:type="paragraph" w:styleId="65">
    <w:name w:val="List Number 5"/>
    <w:basedOn w:val="1"/>
    <w:semiHidden/>
    <w:qFormat/>
    <w:uiPriority w:val="0"/>
    <w:pPr>
      <w:widowControl/>
      <w:numPr>
        <w:ilvl w:val="0"/>
        <w:numId w:val="10"/>
      </w:numPr>
      <w:spacing w:line="240" w:lineRule="atLeast"/>
      <w:contextualSpacing/>
      <w:jc w:val="left"/>
    </w:pPr>
    <w:rPr>
      <w:rFonts w:cs="Times New Roman"/>
      <w:kern w:val="0"/>
      <w:sz w:val="20"/>
      <w:szCs w:val="20"/>
      <w:lang w:val="en-GB" w:eastAsia="en-GB"/>
    </w:rPr>
  </w:style>
  <w:style w:type="paragraph" w:styleId="66">
    <w:name w:val="List"/>
    <w:basedOn w:val="1"/>
    <w:semiHidden/>
    <w:qFormat/>
    <w:uiPriority w:val="0"/>
    <w:pPr>
      <w:widowControl/>
      <w:spacing w:line="240" w:lineRule="atLeast"/>
      <w:ind w:left="283" w:hanging="283"/>
      <w:contextualSpacing/>
      <w:jc w:val="left"/>
    </w:pPr>
    <w:rPr>
      <w:rFonts w:cs="Times New Roman"/>
      <w:kern w:val="0"/>
      <w:sz w:val="20"/>
      <w:szCs w:val="20"/>
      <w:lang w:val="en-GB" w:eastAsia="en-GB"/>
    </w:rPr>
  </w:style>
  <w:style w:type="paragraph" w:styleId="67">
    <w:name w:val="footnote text"/>
    <w:basedOn w:val="1"/>
    <w:link w:val="286"/>
    <w:qFormat/>
    <w:uiPriority w:val="0"/>
    <w:pPr>
      <w:widowControl/>
      <w:spacing w:line="240" w:lineRule="atLeast"/>
      <w:contextualSpacing/>
      <w:jc w:val="left"/>
    </w:pPr>
    <w:rPr>
      <w:rFonts w:cs="Times New Roman"/>
      <w:kern w:val="0"/>
      <w:sz w:val="20"/>
      <w:szCs w:val="20"/>
      <w:lang w:val="en-GB" w:eastAsia="en-GB"/>
    </w:rPr>
  </w:style>
  <w:style w:type="paragraph" w:styleId="68">
    <w:name w:val="toc 6"/>
    <w:basedOn w:val="1"/>
    <w:next w:val="1"/>
    <w:qFormat/>
    <w:uiPriority w:val="39"/>
    <w:pPr>
      <w:widowControl/>
      <w:spacing w:line="240" w:lineRule="atLeast"/>
      <w:ind w:left="1200"/>
      <w:contextualSpacing/>
      <w:jc w:val="left"/>
    </w:pPr>
    <w:rPr>
      <w:rFonts w:cs="Times New Roman"/>
      <w:kern w:val="0"/>
      <w:sz w:val="20"/>
      <w:szCs w:val="20"/>
      <w:lang w:val="en-GB" w:eastAsia="en-GB"/>
    </w:rPr>
  </w:style>
  <w:style w:type="paragraph" w:styleId="69">
    <w:name w:val="List 5"/>
    <w:basedOn w:val="1"/>
    <w:semiHidden/>
    <w:qFormat/>
    <w:uiPriority w:val="0"/>
    <w:pPr>
      <w:widowControl/>
      <w:spacing w:line="240" w:lineRule="atLeast"/>
      <w:ind w:left="1415" w:hanging="283"/>
      <w:contextualSpacing/>
      <w:jc w:val="left"/>
    </w:pPr>
    <w:rPr>
      <w:rFonts w:cs="Times New Roman"/>
      <w:kern w:val="0"/>
      <w:sz w:val="20"/>
      <w:szCs w:val="20"/>
      <w:lang w:val="en-GB" w:eastAsia="en-GB"/>
    </w:rPr>
  </w:style>
  <w:style w:type="paragraph" w:styleId="70">
    <w:name w:val="Body Text Indent 3"/>
    <w:basedOn w:val="1"/>
    <w:link w:val="280"/>
    <w:qFormat/>
    <w:uiPriority w:val="0"/>
    <w:pPr>
      <w:widowControl/>
      <w:spacing w:after="120" w:line="240" w:lineRule="atLeast"/>
      <w:ind w:left="283"/>
      <w:contextualSpacing/>
      <w:jc w:val="left"/>
    </w:pPr>
    <w:rPr>
      <w:rFonts w:cs="Times New Roman"/>
      <w:kern w:val="0"/>
      <w:sz w:val="16"/>
      <w:szCs w:val="16"/>
      <w:lang w:val="en-GB" w:eastAsia="en-GB"/>
    </w:rPr>
  </w:style>
  <w:style w:type="paragraph" w:styleId="71">
    <w:name w:val="index 7"/>
    <w:basedOn w:val="1"/>
    <w:next w:val="1"/>
    <w:semiHidden/>
    <w:qFormat/>
    <w:uiPriority w:val="0"/>
    <w:pPr>
      <w:widowControl/>
      <w:spacing w:line="240" w:lineRule="atLeast"/>
      <w:ind w:left="1680" w:hanging="240"/>
      <w:contextualSpacing/>
      <w:jc w:val="left"/>
    </w:pPr>
    <w:rPr>
      <w:rFonts w:cs="Times New Roman"/>
      <w:kern w:val="0"/>
      <w:sz w:val="20"/>
      <w:szCs w:val="20"/>
      <w:lang w:val="en-GB" w:eastAsia="en-GB"/>
    </w:rPr>
  </w:style>
  <w:style w:type="paragraph" w:styleId="72">
    <w:name w:val="index 9"/>
    <w:basedOn w:val="1"/>
    <w:next w:val="1"/>
    <w:semiHidden/>
    <w:qFormat/>
    <w:uiPriority w:val="0"/>
    <w:pPr>
      <w:widowControl/>
      <w:spacing w:line="240" w:lineRule="atLeast"/>
      <w:ind w:left="2160" w:hanging="240"/>
      <w:contextualSpacing/>
      <w:jc w:val="left"/>
    </w:pPr>
    <w:rPr>
      <w:rFonts w:cs="Times New Roman"/>
      <w:kern w:val="0"/>
      <w:sz w:val="20"/>
      <w:szCs w:val="20"/>
      <w:lang w:val="en-GB" w:eastAsia="en-GB"/>
    </w:rPr>
  </w:style>
  <w:style w:type="paragraph" w:styleId="73">
    <w:name w:val="table of figures"/>
    <w:basedOn w:val="1"/>
    <w:next w:val="1"/>
    <w:qFormat/>
    <w:uiPriority w:val="0"/>
    <w:pPr>
      <w:widowControl/>
      <w:spacing w:line="240" w:lineRule="atLeast"/>
      <w:contextualSpacing/>
      <w:jc w:val="left"/>
    </w:pPr>
    <w:rPr>
      <w:rFonts w:cs="Times New Roman"/>
      <w:kern w:val="0"/>
      <w:sz w:val="20"/>
      <w:szCs w:val="20"/>
      <w:lang w:val="en-GB" w:eastAsia="en-GB"/>
    </w:rPr>
  </w:style>
  <w:style w:type="paragraph" w:styleId="74">
    <w:name w:val="toc 2"/>
    <w:basedOn w:val="1"/>
    <w:next w:val="1"/>
    <w:unhideWhenUsed/>
    <w:qFormat/>
    <w:uiPriority w:val="39"/>
    <w:pPr>
      <w:ind w:left="420" w:leftChars="200"/>
    </w:pPr>
  </w:style>
  <w:style w:type="paragraph" w:styleId="75">
    <w:name w:val="toc 9"/>
    <w:basedOn w:val="1"/>
    <w:next w:val="1"/>
    <w:qFormat/>
    <w:uiPriority w:val="39"/>
    <w:pPr>
      <w:widowControl/>
      <w:spacing w:line="240" w:lineRule="atLeast"/>
      <w:ind w:left="1920"/>
      <w:contextualSpacing/>
      <w:jc w:val="left"/>
    </w:pPr>
    <w:rPr>
      <w:rFonts w:cs="Times New Roman"/>
      <w:kern w:val="0"/>
      <w:sz w:val="20"/>
      <w:szCs w:val="20"/>
      <w:lang w:val="en-GB" w:eastAsia="en-GB"/>
    </w:rPr>
  </w:style>
  <w:style w:type="paragraph" w:styleId="76">
    <w:name w:val="Body Text 2"/>
    <w:basedOn w:val="1"/>
    <w:link w:val="275"/>
    <w:qFormat/>
    <w:uiPriority w:val="99"/>
    <w:pPr>
      <w:widowControl/>
      <w:spacing w:after="120" w:line="480" w:lineRule="auto"/>
      <w:contextualSpacing/>
      <w:jc w:val="left"/>
    </w:pPr>
    <w:rPr>
      <w:rFonts w:cs="Times New Roman"/>
      <w:kern w:val="0"/>
      <w:sz w:val="20"/>
      <w:szCs w:val="20"/>
      <w:lang w:val="en-GB" w:eastAsia="en-GB"/>
    </w:rPr>
  </w:style>
  <w:style w:type="paragraph" w:styleId="77">
    <w:name w:val="List 4"/>
    <w:basedOn w:val="1"/>
    <w:semiHidden/>
    <w:qFormat/>
    <w:uiPriority w:val="0"/>
    <w:pPr>
      <w:widowControl/>
      <w:spacing w:line="240" w:lineRule="atLeast"/>
      <w:ind w:left="1132" w:hanging="283"/>
      <w:contextualSpacing/>
      <w:jc w:val="left"/>
    </w:pPr>
    <w:rPr>
      <w:rFonts w:cs="Times New Roman"/>
      <w:kern w:val="0"/>
      <w:sz w:val="20"/>
      <w:szCs w:val="20"/>
      <w:lang w:val="en-GB" w:eastAsia="en-GB"/>
    </w:rPr>
  </w:style>
  <w:style w:type="paragraph" w:styleId="78">
    <w:name w:val="List Continue 2"/>
    <w:basedOn w:val="1"/>
    <w:semiHidden/>
    <w:qFormat/>
    <w:uiPriority w:val="0"/>
    <w:pPr>
      <w:widowControl/>
      <w:spacing w:after="120" w:line="240" w:lineRule="atLeast"/>
      <w:ind w:left="566"/>
      <w:contextualSpacing/>
      <w:jc w:val="left"/>
    </w:pPr>
    <w:rPr>
      <w:rFonts w:cs="Times New Roman"/>
      <w:kern w:val="0"/>
      <w:sz w:val="20"/>
      <w:szCs w:val="20"/>
      <w:lang w:val="en-GB" w:eastAsia="en-GB"/>
    </w:rPr>
  </w:style>
  <w:style w:type="paragraph" w:styleId="79">
    <w:name w:val="Message Header"/>
    <w:basedOn w:val="1"/>
    <w:link w:val="290"/>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240" w:lineRule="atLeast"/>
      <w:ind w:left="1134" w:hanging="1134"/>
      <w:contextualSpacing/>
      <w:jc w:val="left"/>
    </w:pPr>
    <w:rPr>
      <w:rFonts w:cs="Arial"/>
      <w:kern w:val="0"/>
      <w:sz w:val="20"/>
      <w:szCs w:val="20"/>
      <w:lang w:val="en-GB" w:eastAsia="en-GB"/>
    </w:rPr>
  </w:style>
  <w:style w:type="paragraph" w:styleId="80">
    <w:name w:val="HTML Preformatted"/>
    <w:basedOn w:val="1"/>
    <w:link w:val="288"/>
    <w:semiHidden/>
    <w:qFormat/>
    <w:uiPriority w:val="0"/>
    <w:pPr>
      <w:widowControl/>
      <w:spacing w:line="240" w:lineRule="atLeast"/>
      <w:contextualSpacing/>
      <w:jc w:val="left"/>
    </w:pPr>
    <w:rPr>
      <w:rFonts w:ascii="Courier New" w:hAnsi="Courier New" w:cs="Courier New"/>
      <w:kern w:val="0"/>
      <w:sz w:val="20"/>
      <w:szCs w:val="20"/>
      <w:lang w:val="en-GB" w:eastAsia="en-GB"/>
    </w:rPr>
  </w:style>
  <w:style w:type="paragraph" w:styleId="81">
    <w:name w:val="Normal (Web)"/>
    <w:basedOn w:val="1"/>
    <w:link w:val="471"/>
    <w:qFormat/>
    <w:uiPriority w:val="99"/>
    <w:pPr>
      <w:widowControl/>
      <w:spacing w:line="240" w:lineRule="atLeast"/>
      <w:contextualSpacing/>
      <w:jc w:val="left"/>
    </w:pPr>
    <w:rPr>
      <w:rFonts w:cs="Times New Roman"/>
      <w:kern w:val="0"/>
      <w:sz w:val="20"/>
      <w:szCs w:val="20"/>
      <w:lang w:val="en-GB" w:eastAsia="en-GB"/>
    </w:rPr>
  </w:style>
  <w:style w:type="paragraph" w:styleId="82">
    <w:name w:val="List Continue 3"/>
    <w:basedOn w:val="1"/>
    <w:semiHidden/>
    <w:qFormat/>
    <w:uiPriority w:val="0"/>
    <w:pPr>
      <w:widowControl/>
      <w:spacing w:after="120" w:line="240" w:lineRule="atLeast"/>
      <w:ind w:left="849"/>
      <w:contextualSpacing/>
      <w:jc w:val="left"/>
    </w:pPr>
    <w:rPr>
      <w:rFonts w:cs="Times New Roman"/>
      <w:kern w:val="0"/>
      <w:sz w:val="20"/>
      <w:szCs w:val="20"/>
      <w:lang w:val="en-GB" w:eastAsia="en-GB"/>
    </w:rPr>
  </w:style>
  <w:style w:type="paragraph" w:styleId="83">
    <w:name w:val="index 2"/>
    <w:basedOn w:val="1"/>
    <w:next w:val="1"/>
    <w:semiHidden/>
    <w:qFormat/>
    <w:uiPriority w:val="0"/>
    <w:pPr>
      <w:widowControl/>
      <w:spacing w:line="240" w:lineRule="atLeast"/>
      <w:ind w:left="480" w:hanging="240"/>
      <w:contextualSpacing/>
      <w:jc w:val="left"/>
    </w:pPr>
    <w:rPr>
      <w:rFonts w:cs="Times New Roman"/>
      <w:kern w:val="0"/>
      <w:sz w:val="20"/>
      <w:szCs w:val="20"/>
      <w:lang w:val="en-GB" w:eastAsia="en-GB"/>
    </w:rPr>
  </w:style>
  <w:style w:type="paragraph" w:styleId="84">
    <w:name w:val="Title"/>
    <w:next w:val="64"/>
    <w:link w:val="295"/>
    <w:qFormat/>
    <w:uiPriority w:val="0"/>
    <w:pPr>
      <w:spacing w:line="1000" w:lineRule="atLeast"/>
    </w:pPr>
    <w:rPr>
      <w:rFonts w:cs="Arial" w:asciiTheme="minorHAnsi" w:hAnsiTheme="minorHAnsi" w:eastAsiaTheme="minorEastAsia"/>
      <w:bCs/>
      <w:color w:val="FFFFFF" w:themeColor="background1"/>
      <w:kern w:val="28"/>
      <w:sz w:val="106"/>
      <w:szCs w:val="32"/>
      <w:lang w:val="en-GB" w:eastAsia="en-GB" w:bidi="ar-SA"/>
    </w:rPr>
  </w:style>
  <w:style w:type="paragraph" w:styleId="85">
    <w:name w:val="annotation subject"/>
    <w:basedOn w:val="28"/>
    <w:next w:val="28"/>
    <w:link w:val="283"/>
    <w:qFormat/>
    <w:uiPriority w:val="0"/>
    <w:rPr>
      <w:b/>
      <w:bCs/>
    </w:rPr>
  </w:style>
  <w:style w:type="paragraph" w:styleId="86">
    <w:name w:val="Body Text First Indent"/>
    <w:basedOn w:val="34"/>
    <w:link w:val="277"/>
    <w:semiHidden/>
    <w:qFormat/>
    <w:uiPriority w:val="0"/>
    <w:pPr>
      <w:spacing w:line="240" w:lineRule="atLeast"/>
      <w:ind w:firstLine="210"/>
      <w:contextualSpacing/>
    </w:pPr>
    <w:rPr>
      <w:rFonts w:cs="Times New Roman"/>
      <w:sz w:val="20"/>
      <w:lang w:eastAsia="en-GB"/>
    </w:rPr>
  </w:style>
  <w:style w:type="paragraph" w:styleId="87">
    <w:name w:val="Body Text First Indent 2"/>
    <w:basedOn w:val="35"/>
    <w:link w:val="278"/>
    <w:semiHidden/>
    <w:qFormat/>
    <w:uiPriority w:val="0"/>
    <w:pPr>
      <w:widowControl/>
      <w:spacing w:line="240" w:lineRule="atLeast"/>
      <w:ind w:left="283" w:leftChars="0" w:firstLine="210"/>
      <w:contextualSpacing/>
      <w:jc w:val="left"/>
    </w:pPr>
    <w:rPr>
      <w:rFonts w:cs="Times New Roman"/>
      <w:kern w:val="0"/>
      <w:sz w:val="20"/>
      <w:szCs w:val="20"/>
      <w:lang w:val="en-GB" w:eastAsia="en-GB"/>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90">
    <w:name w:val="Table Theme"/>
    <w:basedOn w:val="88"/>
    <w:semiHidden/>
    <w:qFormat/>
    <w:uiPriority w:val="0"/>
    <w:pPr>
      <w:spacing w:line="240" w:lineRule="atLeas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qFormat/>
    <w:uiPriority w:val="0"/>
    <w:pPr>
      <w:spacing w:line="240" w:lineRule="atLeast"/>
    </w:pPr>
    <w:rPr>
      <w:color w:val="FFFFFF"/>
      <w:lang w:val="en-GB" w:eastAsia="en-GB"/>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qFormat/>
    <w:uiPriority w:val="0"/>
    <w:pPr>
      <w:spacing w:line="240" w:lineRule="atLeast"/>
    </w:pPr>
    <w:rPr>
      <w:lang w:val="en-GB" w:eastAsia="en-GB"/>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qFormat/>
    <w:uiPriority w:val="0"/>
    <w:pPr>
      <w:spacing w:line="240" w:lineRule="atLeast"/>
    </w:pPr>
    <w:rPr>
      <w:lang w:val="en-GB" w:eastAsia="en-GB"/>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qFormat/>
    <w:uiPriority w:val="0"/>
    <w:pPr>
      <w:spacing w:line="240" w:lineRule="atLeast"/>
    </w:pPr>
    <w:rPr>
      <w:lang w:val="en-GB" w:eastAsia="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qFormat/>
    <w:uiPriority w:val="0"/>
    <w:pPr>
      <w:spacing w:line="240" w:lineRule="atLeast"/>
    </w:pPr>
    <w:rPr>
      <w:lang w:val="en-GB" w:eastAsia="en-GB"/>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qFormat/>
    <w:uiPriority w:val="0"/>
    <w:pPr>
      <w:spacing w:line="240" w:lineRule="atLeast"/>
    </w:pPr>
    <w:rPr>
      <w:lang w:val="en-GB" w:eastAsia="en-GB"/>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qFormat/>
    <w:uiPriority w:val="0"/>
    <w:pPr>
      <w:spacing w:line="240" w:lineRule="atLeast"/>
    </w:pPr>
    <w:rPr>
      <w:color w:val="000080"/>
      <w:lang w:val="en-GB" w:eastAsia="en-GB"/>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qFormat/>
    <w:uiPriority w:val="0"/>
    <w:pPr>
      <w:spacing w:line="240" w:lineRule="atLeast"/>
    </w:pPr>
    <w:rPr>
      <w:lang w:val="en-GB" w:eastAsia="en-GB"/>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qFormat/>
    <w:uiPriority w:val="0"/>
    <w:pPr>
      <w:spacing w:line="240" w:lineRule="atLeast"/>
    </w:pPr>
    <w:rPr>
      <w:lang w:val="en-GB" w:eastAsia="en-GB"/>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qFormat/>
    <w:uiPriority w:val="0"/>
    <w:pPr>
      <w:spacing w:line="240" w:lineRule="atLeast"/>
    </w:pPr>
    <w:rPr>
      <w:lang w:val="en-GB" w:eastAsia="en-GB"/>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qFormat/>
    <w:uiPriority w:val="0"/>
    <w:pPr>
      <w:spacing w:line="240" w:lineRule="atLeast"/>
    </w:pPr>
    <w:rPr>
      <w:lang w:val="en-GB" w:eastAsia="en-GB"/>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qFormat/>
    <w:uiPriority w:val="0"/>
    <w:pPr>
      <w:spacing w:line="240" w:lineRule="atLeast"/>
    </w:pPr>
    <w:rPr>
      <w:lang w:val="en-GB" w:eastAsia="en-GB"/>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qFormat/>
    <w:uiPriority w:val="0"/>
    <w:pPr>
      <w:spacing w:line="240" w:lineRule="atLeast"/>
    </w:pPr>
    <w:rPr>
      <w:lang w:val="en-GB" w:eastAsia="en-GB"/>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qFormat/>
    <w:uiPriority w:val="0"/>
    <w:pPr>
      <w:spacing w:line="240" w:lineRule="atLeast"/>
    </w:pPr>
    <w:rPr>
      <w:lang w:val="en-GB" w:eastAsia="en-GB"/>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qFormat/>
    <w:uiPriority w:val="0"/>
    <w:pPr>
      <w:spacing w:line="240" w:lineRule="atLeast"/>
    </w:pPr>
    <w:rPr>
      <w:lang w:val="en-GB" w:eastAsia="en-GB"/>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qFormat/>
    <w:uiPriority w:val="0"/>
    <w:pPr>
      <w:spacing w:line="240" w:lineRule="atLeast"/>
    </w:pPr>
    <w:rPr>
      <w:lang w:val="en-GB" w:eastAsia="en-GB"/>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qFormat/>
    <w:uiPriority w:val="0"/>
    <w:pPr>
      <w:spacing w:line="240" w:lineRule="atLeast"/>
    </w:pPr>
    <w:rPr>
      <w:lang w:val="en-GB" w:eastAsia="en-GB"/>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qFormat/>
    <w:uiPriority w:val="0"/>
    <w:pPr>
      <w:spacing w:line="240" w:lineRule="atLeast"/>
    </w:pPr>
    <w:rPr>
      <w:lang w:val="en-GB" w:eastAsia="en-GB"/>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qFormat/>
    <w:uiPriority w:val="0"/>
    <w:pPr>
      <w:spacing w:line="240" w:lineRule="atLeast"/>
    </w:pPr>
    <w:rPr>
      <w:lang w:val="en-GB" w:eastAsia="en-GB"/>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qFormat/>
    <w:uiPriority w:val="0"/>
    <w:pPr>
      <w:spacing w:line="240" w:lineRule="atLeast"/>
    </w:pPr>
    <w:rPr>
      <w:lang w:val="en-GB" w:eastAsia="en-GB"/>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qFormat/>
    <w:uiPriority w:val="0"/>
    <w:pPr>
      <w:spacing w:line="240" w:lineRule="atLeast"/>
    </w:pPr>
    <w:rPr>
      <w:lang w:val="en-GB" w:eastAsia="en-GB"/>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qFormat/>
    <w:uiPriority w:val="0"/>
    <w:pPr>
      <w:spacing w:line="240" w:lineRule="atLeast"/>
    </w:pPr>
    <w:rPr>
      <w:lang w:val="en-GB" w:eastAsia="en-GB"/>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qFormat/>
    <w:uiPriority w:val="0"/>
    <w:pPr>
      <w:spacing w:line="240" w:lineRule="atLeast"/>
    </w:pPr>
    <w:rPr>
      <w:lang w:val="en-GB" w:eastAsia="en-GB"/>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qFormat/>
    <w:uiPriority w:val="0"/>
    <w:pPr>
      <w:spacing w:line="240" w:lineRule="atLeast"/>
    </w:pPr>
    <w:rPr>
      <w:lang w:val="en-GB" w:eastAsia="en-GB"/>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qFormat/>
    <w:uiPriority w:val="0"/>
    <w:pPr>
      <w:spacing w:line="240" w:lineRule="atLeast"/>
    </w:pPr>
    <w:rPr>
      <w:lang w:val="en-GB" w:eastAsia="en-GB"/>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qFormat/>
    <w:uiPriority w:val="0"/>
    <w:pPr>
      <w:spacing w:line="240" w:lineRule="atLeast"/>
    </w:pPr>
    <w:rPr>
      <w:b/>
      <w:bCs/>
      <w:lang w:val="en-GB" w:eastAsia="en-GB"/>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qFormat/>
    <w:uiPriority w:val="0"/>
    <w:pPr>
      <w:spacing w:line="240" w:lineRule="atLeast"/>
    </w:pPr>
    <w:rPr>
      <w:b/>
      <w:bCs/>
      <w:lang w:val="en-GB" w:eastAsia="en-GB"/>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qFormat/>
    <w:uiPriority w:val="0"/>
    <w:pPr>
      <w:spacing w:line="240" w:lineRule="atLeast"/>
    </w:pPr>
    <w:rPr>
      <w:b/>
      <w:bCs/>
      <w:lang w:val="en-GB" w:eastAsia="en-GB"/>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qFormat/>
    <w:uiPriority w:val="0"/>
    <w:pPr>
      <w:spacing w:line="240" w:lineRule="atLeast"/>
    </w:pPr>
    <w:rPr>
      <w:lang w:val="en-GB" w:eastAsia="en-GB"/>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qFormat/>
    <w:uiPriority w:val="0"/>
    <w:pPr>
      <w:spacing w:line="240" w:lineRule="atLeast"/>
    </w:pPr>
    <w:rPr>
      <w:lang w:val="en-GB" w:eastAsia="en-GB"/>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qFormat/>
    <w:uiPriority w:val="0"/>
    <w:pPr>
      <w:spacing w:line="240" w:lineRule="atLeast"/>
    </w:pPr>
    <w:rPr>
      <w:lang w:val="en-GB"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qFormat/>
    <w:uiPriority w:val="0"/>
    <w:pPr>
      <w:spacing w:line="240" w:lineRule="atLeast"/>
    </w:pPr>
    <w:rPr>
      <w:lang w:val="en-GB" w:eastAsia="en-GB"/>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qFormat/>
    <w:uiPriority w:val="0"/>
    <w:pPr>
      <w:spacing w:line="240" w:lineRule="atLeast"/>
    </w:pPr>
    <w:rPr>
      <w:lang w:val="en-GB" w:eastAsia="en-GB"/>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qFormat/>
    <w:uiPriority w:val="0"/>
    <w:pPr>
      <w:spacing w:line="240" w:lineRule="atLeast"/>
    </w:pPr>
    <w:rPr>
      <w:lang w:val="en-GB" w:eastAsia="en-GB"/>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qFormat/>
    <w:uiPriority w:val="0"/>
    <w:pPr>
      <w:spacing w:line="240" w:lineRule="atLeast"/>
    </w:pPr>
    <w:rPr>
      <w:lang w:val="en-GB" w:eastAsia="en-GB"/>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qFormat/>
    <w:uiPriority w:val="0"/>
    <w:pPr>
      <w:spacing w:line="240" w:lineRule="atLeast"/>
    </w:pPr>
    <w:rPr>
      <w:lang w:val="en-GB" w:eastAsia="en-GB"/>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qFormat/>
    <w:uiPriority w:val="0"/>
    <w:pPr>
      <w:spacing w:line="240" w:lineRule="atLeast"/>
    </w:pPr>
    <w:rPr>
      <w:b/>
      <w:bCs/>
      <w:lang w:val="en-GB" w:eastAsia="en-GB"/>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qFormat/>
    <w:uiPriority w:val="0"/>
    <w:pPr>
      <w:spacing w:line="240" w:lineRule="atLeast"/>
    </w:pPr>
    <w:rPr>
      <w:lang w:val="en-GB" w:eastAsia="en-GB"/>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qFormat/>
    <w:uiPriority w:val="0"/>
    <w:pPr>
      <w:spacing w:line="240" w:lineRule="atLeast"/>
    </w:pPr>
    <w:rPr>
      <w:lang w:val="en-GB" w:eastAsia="en-GB"/>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qFormat/>
    <w:uiPriority w:val="0"/>
    <w:pPr>
      <w:spacing w:line="240" w:lineRule="atLeast"/>
    </w:pPr>
    <w:rPr>
      <w:lang w:val="en-GB" w:eastAsia="en-GB"/>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qFormat/>
    <w:uiPriority w:val="0"/>
    <w:pPr>
      <w:spacing w:line="240" w:lineRule="atLeast"/>
    </w:pPr>
    <w:rPr>
      <w:lang w:val="en-GB" w:eastAsia="en-GB"/>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qFormat/>
    <w:uiPriority w:val="0"/>
    <w:pPr>
      <w:spacing w:line="240" w:lineRule="atLeast"/>
    </w:pPr>
    <w:rPr>
      <w:lang w:val="en-GB"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Accent 2"/>
    <w:basedOn w:val="88"/>
    <w:qFormat/>
    <w:uiPriority w:val="60"/>
    <w:rPr>
      <w:color w:val="943734" w:themeColor="accent2" w:themeShade="BF"/>
      <w:lang w:val="en-GB" w:eastAsia="en-GB"/>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134">
    <w:name w:val="Light Shading Accent 3"/>
    <w:basedOn w:val="88"/>
    <w:qFormat/>
    <w:uiPriority w:val="60"/>
    <w:rPr>
      <w:color w:val="76923C" w:themeColor="accent3" w:themeShade="BF"/>
      <w:lang w:val="en-GB" w:eastAsia="en-GB"/>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5">
    <w:name w:val="Light Shading Accent 4"/>
    <w:basedOn w:val="88"/>
    <w:qFormat/>
    <w:uiPriority w:val="60"/>
    <w:rPr>
      <w:color w:val="5F497A" w:themeColor="accent4" w:themeShade="BF"/>
      <w:lang w:val="en-GB" w:eastAsia="en-GB"/>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6">
    <w:name w:val="Light Shading Accent 5"/>
    <w:basedOn w:val="88"/>
    <w:qFormat/>
    <w:uiPriority w:val="60"/>
    <w:rPr>
      <w:color w:val="31849B" w:themeColor="accent5" w:themeShade="BF"/>
      <w:lang w:val="en-GB" w:eastAsia="en-GB"/>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37">
    <w:name w:val="Light Shading Accent 6"/>
    <w:basedOn w:val="88"/>
    <w:qFormat/>
    <w:uiPriority w:val="60"/>
    <w:rPr>
      <w:color w:val="E36C09" w:themeColor="accent6" w:themeShade="BF"/>
      <w:lang w:val="en-GB" w:eastAsia="en-GB"/>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138">
    <w:name w:val="Light List Accent 2"/>
    <w:basedOn w:val="88"/>
    <w:qFormat/>
    <w:uiPriority w:val="61"/>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139">
    <w:name w:val="Light List Accent 3"/>
    <w:basedOn w:val="88"/>
    <w:qFormat/>
    <w:uiPriority w:val="61"/>
    <w:rPr>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40">
    <w:name w:val="Light List Accent 4"/>
    <w:basedOn w:val="88"/>
    <w:qFormat/>
    <w:uiPriority w:val="61"/>
    <w:rPr>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141">
    <w:name w:val="Light List Accent 5"/>
    <w:basedOn w:val="88"/>
    <w:qFormat/>
    <w:uiPriority w:val="61"/>
    <w:rPr>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142">
    <w:name w:val="Light List Accent 6"/>
    <w:basedOn w:val="88"/>
    <w:qFormat/>
    <w:uiPriority w:val="61"/>
    <w:rPr>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43">
    <w:name w:val="Light Grid Accent 2"/>
    <w:basedOn w:val="88"/>
    <w:qFormat/>
    <w:uiPriority w:val="62"/>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144">
    <w:name w:val="Light Grid Accent 3"/>
    <w:basedOn w:val="88"/>
    <w:qFormat/>
    <w:uiPriority w:val="62"/>
    <w:rPr>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45">
    <w:name w:val="Light Grid Accent 4"/>
    <w:basedOn w:val="88"/>
    <w:qFormat/>
    <w:uiPriority w:val="62"/>
    <w:rPr>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46">
    <w:name w:val="Light Grid Accent 5"/>
    <w:basedOn w:val="88"/>
    <w:qFormat/>
    <w:uiPriority w:val="62"/>
    <w:rPr>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47">
    <w:name w:val="Light Grid Accent 6"/>
    <w:basedOn w:val="88"/>
    <w:qFormat/>
    <w:uiPriority w:val="62"/>
    <w:rPr>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48">
    <w:name w:val="Medium Shading 1 Accent 2"/>
    <w:basedOn w:val="88"/>
    <w:qFormat/>
    <w:uiPriority w:val="63"/>
    <w:rPr>
      <w:lang w:val="en-GB" w:eastAsia="en-GB"/>
    </w:r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49">
    <w:name w:val="Medium Shading 1 Accent 3"/>
    <w:basedOn w:val="88"/>
    <w:qFormat/>
    <w:uiPriority w:val="63"/>
    <w:rPr>
      <w:lang w:val="en-GB" w:eastAsia="en-GB"/>
    </w:r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0">
    <w:name w:val="Medium Shading 1 Accent 4"/>
    <w:basedOn w:val="88"/>
    <w:qFormat/>
    <w:uiPriority w:val="63"/>
    <w:rPr>
      <w:lang w:val="en-GB" w:eastAsia="en-GB"/>
    </w:r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1">
    <w:name w:val="Medium Shading 1 Accent 5"/>
    <w:basedOn w:val="88"/>
    <w:qFormat/>
    <w:uiPriority w:val="63"/>
    <w:rPr>
      <w:lang w:val="en-GB" w:eastAsia="en-GB"/>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152">
    <w:name w:val="Medium Shading 1 Accent 6"/>
    <w:basedOn w:val="88"/>
    <w:qFormat/>
    <w:uiPriority w:val="63"/>
    <w:rPr>
      <w:lang w:val="en-GB" w:eastAsia="en-GB"/>
    </w:r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153">
    <w:name w:val="Medium Shading 2 Accent 2"/>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4">
    <w:name w:val="Medium Shading 2 Accent 3"/>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5">
    <w:name w:val="Medium Shading 2 Accent 4"/>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6">
    <w:name w:val="Medium Shading 2 Accent 5"/>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7">
    <w:name w:val="Medium Shading 2 Accent 6"/>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8">
    <w:name w:val="Medium List 1 Accent 2"/>
    <w:basedOn w:val="88"/>
    <w:qFormat/>
    <w:uiPriority w:val="65"/>
    <w:rPr>
      <w:color w:val="000000" w:themeColor="text1"/>
      <w:lang w:val="en-GB" w:eastAsia="en-GB"/>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159">
    <w:name w:val="Medium List 1 Accent 3"/>
    <w:basedOn w:val="88"/>
    <w:qFormat/>
    <w:uiPriority w:val="65"/>
    <w:rPr>
      <w:color w:val="000000" w:themeColor="text1"/>
      <w:lang w:val="en-GB" w:eastAsia="en-GB"/>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60">
    <w:name w:val="Medium List 1 Accent 4"/>
    <w:basedOn w:val="88"/>
    <w:qFormat/>
    <w:uiPriority w:val="65"/>
    <w:rPr>
      <w:color w:val="000000" w:themeColor="text1"/>
      <w:lang w:val="en-GB" w:eastAsia="en-GB"/>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61">
    <w:name w:val="Medium List 1 Accent 5"/>
    <w:basedOn w:val="88"/>
    <w:qFormat/>
    <w:uiPriority w:val="65"/>
    <w:rPr>
      <w:color w:val="000000" w:themeColor="text1"/>
      <w:lang w:val="en-GB" w:eastAsia="en-GB"/>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162">
    <w:name w:val="Medium List 1 Accent 6"/>
    <w:basedOn w:val="88"/>
    <w:qFormat/>
    <w:uiPriority w:val="65"/>
    <w:rPr>
      <w:color w:val="000000" w:themeColor="text1"/>
      <w:lang w:val="en-GB" w:eastAsia="en-GB"/>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163">
    <w:name w:val="Medium List 2 Accent 1"/>
    <w:basedOn w:val="88"/>
    <w:qFormat/>
    <w:uiPriority w:val="66"/>
    <w:rPr>
      <w:rFonts w:asciiTheme="majorHAnsi" w:hAnsiTheme="majorHAnsi" w:eastAsiaTheme="majorEastAsia" w:cstheme="majorBidi"/>
      <w:color w:val="000000" w:themeColor="text1"/>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4">
    <w:name w:val="Medium List 2 Accent 2"/>
    <w:basedOn w:val="88"/>
    <w:qFormat/>
    <w:uiPriority w:val="66"/>
    <w:rPr>
      <w:rFonts w:asciiTheme="majorHAnsi" w:hAnsiTheme="majorHAnsi" w:eastAsiaTheme="majorEastAsia" w:cstheme="majorBidi"/>
      <w:color w:val="000000" w:themeColor="text1"/>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65">
    <w:name w:val="Medium List 2 Accent 3"/>
    <w:basedOn w:val="88"/>
    <w:qFormat/>
    <w:uiPriority w:val="66"/>
    <w:rPr>
      <w:rFonts w:asciiTheme="majorHAnsi" w:hAnsiTheme="majorHAnsi" w:eastAsiaTheme="majorEastAsia" w:cstheme="majorBidi"/>
      <w:color w:val="000000" w:themeColor="text1"/>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66">
    <w:name w:val="Medium List 2 Accent 4"/>
    <w:basedOn w:val="88"/>
    <w:qFormat/>
    <w:uiPriority w:val="66"/>
    <w:rPr>
      <w:rFonts w:asciiTheme="majorHAnsi" w:hAnsiTheme="majorHAnsi" w:eastAsiaTheme="majorEastAsia" w:cstheme="majorBidi"/>
      <w:color w:val="000000" w:themeColor="text1"/>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67">
    <w:name w:val="Medium List 2 Accent 5"/>
    <w:basedOn w:val="88"/>
    <w:qFormat/>
    <w:uiPriority w:val="66"/>
    <w:rPr>
      <w:rFonts w:asciiTheme="majorHAnsi" w:hAnsiTheme="majorHAnsi" w:eastAsiaTheme="majorEastAsia" w:cstheme="majorBidi"/>
      <w:color w:val="000000" w:themeColor="text1"/>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68">
    <w:name w:val="Medium List 2 Accent 6"/>
    <w:basedOn w:val="88"/>
    <w:qFormat/>
    <w:uiPriority w:val="66"/>
    <w:rPr>
      <w:rFonts w:asciiTheme="majorHAnsi" w:hAnsiTheme="majorHAnsi" w:eastAsiaTheme="majorEastAsia" w:cstheme="majorBidi"/>
      <w:color w:val="000000" w:themeColor="text1"/>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9">
    <w:name w:val="Medium Grid 1 Accent 1"/>
    <w:basedOn w:val="88"/>
    <w:uiPriority w:val="67"/>
    <w:rPr>
      <w:lang w:val="en-GB" w:eastAsia="en-GB"/>
    </w:r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70">
    <w:name w:val="Medium Grid 1 Accent 2"/>
    <w:basedOn w:val="88"/>
    <w:uiPriority w:val="67"/>
    <w:rPr>
      <w:lang w:val="en-GB" w:eastAsia="en-GB"/>
    </w:r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71">
    <w:name w:val="Medium Grid 1 Accent 3"/>
    <w:basedOn w:val="88"/>
    <w:qFormat/>
    <w:uiPriority w:val="67"/>
    <w:rPr>
      <w:lang w:val="en-GB" w:eastAsia="en-GB"/>
    </w:r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72">
    <w:name w:val="Medium Grid 1 Accent 4"/>
    <w:basedOn w:val="88"/>
    <w:qFormat/>
    <w:uiPriority w:val="67"/>
    <w:rPr>
      <w:lang w:val="en-GB" w:eastAsia="en-GB"/>
    </w:r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73">
    <w:name w:val="Medium Grid 1 Accent 5"/>
    <w:basedOn w:val="88"/>
    <w:qFormat/>
    <w:uiPriority w:val="67"/>
    <w:rPr>
      <w:lang w:val="en-GB" w:eastAsia="en-GB"/>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74">
    <w:name w:val="Medium Grid 1 Accent 6"/>
    <w:basedOn w:val="88"/>
    <w:uiPriority w:val="67"/>
    <w:rPr>
      <w:lang w:val="en-GB" w:eastAsia="en-GB"/>
    </w:r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75">
    <w:name w:val="Medium Grid 2 Accent 1"/>
    <w:basedOn w:val="88"/>
    <w:qFormat/>
    <w:uiPriority w:val="68"/>
    <w:rPr>
      <w:rFonts w:asciiTheme="majorHAnsi" w:hAnsiTheme="majorHAnsi" w:eastAsiaTheme="majorEastAsia" w:cstheme="majorBidi"/>
      <w:color w:val="000000" w:themeColor="text1"/>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76">
    <w:name w:val="Medium Grid 2 Accent 2"/>
    <w:basedOn w:val="88"/>
    <w:qFormat/>
    <w:uiPriority w:val="68"/>
    <w:rPr>
      <w:rFonts w:asciiTheme="majorHAnsi" w:hAnsiTheme="majorHAnsi" w:eastAsiaTheme="majorEastAsia" w:cstheme="majorBidi"/>
      <w:color w:val="000000" w:themeColor="text1"/>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77">
    <w:name w:val="Medium Grid 2 Accent 3"/>
    <w:basedOn w:val="88"/>
    <w:qFormat/>
    <w:uiPriority w:val="68"/>
    <w:rPr>
      <w:rFonts w:asciiTheme="majorHAnsi" w:hAnsiTheme="majorHAnsi" w:eastAsiaTheme="majorEastAsia" w:cstheme="majorBidi"/>
      <w:color w:val="000000" w:themeColor="text1"/>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78">
    <w:name w:val="Medium Grid 2 Accent 4"/>
    <w:basedOn w:val="88"/>
    <w:qFormat/>
    <w:uiPriority w:val="68"/>
    <w:rPr>
      <w:rFonts w:asciiTheme="majorHAnsi" w:hAnsiTheme="majorHAnsi" w:eastAsiaTheme="majorEastAsia" w:cstheme="majorBidi"/>
      <w:color w:val="000000" w:themeColor="text1"/>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5"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79">
    <w:name w:val="Medium Grid 2 Accent 5"/>
    <w:basedOn w:val="88"/>
    <w:qFormat/>
    <w:uiPriority w:val="68"/>
    <w:rPr>
      <w:rFonts w:asciiTheme="majorHAnsi" w:hAnsiTheme="majorHAnsi" w:eastAsiaTheme="majorEastAsia" w:cstheme="majorBidi"/>
      <w:color w:val="000000" w:themeColor="text1"/>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80">
    <w:name w:val="Medium Grid 2 Accent 6"/>
    <w:basedOn w:val="88"/>
    <w:uiPriority w:val="68"/>
    <w:rPr>
      <w:rFonts w:asciiTheme="majorHAnsi" w:hAnsiTheme="majorHAnsi" w:eastAsiaTheme="majorEastAsia" w:cstheme="majorBidi"/>
      <w:color w:val="000000" w:themeColor="text1"/>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81">
    <w:name w:val="Medium Grid 3 Accent 1"/>
    <w:basedOn w:val="88"/>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82">
    <w:name w:val="Medium Grid 3 Accent 2"/>
    <w:basedOn w:val="88"/>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83">
    <w:name w:val="Medium Grid 3 Accent 3"/>
    <w:basedOn w:val="88"/>
    <w:qFormat/>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84">
    <w:name w:val="Medium Grid 3 Accent 4"/>
    <w:basedOn w:val="88"/>
    <w:qFormat/>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85">
    <w:name w:val="Medium Grid 3 Accent 5"/>
    <w:basedOn w:val="88"/>
    <w:qFormat/>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86">
    <w:name w:val="Medium Grid 3 Accent 6"/>
    <w:basedOn w:val="88"/>
    <w:qFormat/>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87">
    <w:name w:val="Dark List Accent 1"/>
    <w:basedOn w:val="88"/>
    <w:qFormat/>
    <w:uiPriority w:val="70"/>
    <w:rPr>
      <w:color w:val="FFFFFF" w:themeColor="background1"/>
      <w:lang w:val="en-GB" w:eastAsia="en-GB"/>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88">
    <w:name w:val="Dark List Accent 2"/>
    <w:basedOn w:val="88"/>
    <w:qFormat/>
    <w:uiPriority w:val="70"/>
    <w:rPr>
      <w:color w:val="FFFFFF" w:themeColor="background1"/>
      <w:lang w:val="en-GB" w:eastAsia="en-GB"/>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89">
    <w:name w:val="Dark List Accent 3"/>
    <w:basedOn w:val="88"/>
    <w:qFormat/>
    <w:uiPriority w:val="70"/>
    <w:rPr>
      <w:color w:val="FFFFFF" w:themeColor="background1"/>
      <w:lang w:val="en-GB" w:eastAsia="en-GB"/>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90">
    <w:name w:val="Dark List Accent 4"/>
    <w:basedOn w:val="88"/>
    <w:qFormat/>
    <w:uiPriority w:val="70"/>
    <w:rPr>
      <w:color w:val="FFFFFF" w:themeColor="background1"/>
      <w:lang w:val="en-GB" w:eastAsia="en-GB"/>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91">
    <w:name w:val="Dark List Accent 5"/>
    <w:basedOn w:val="88"/>
    <w:qFormat/>
    <w:uiPriority w:val="70"/>
    <w:rPr>
      <w:color w:val="FFFFFF" w:themeColor="background1"/>
      <w:lang w:val="en-GB" w:eastAsia="en-GB"/>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92">
    <w:name w:val="Dark List Accent 6"/>
    <w:basedOn w:val="88"/>
    <w:qFormat/>
    <w:uiPriority w:val="70"/>
    <w:rPr>
      <w:color w:val="FFFFFF" w:themeColor="background1"/>
      <w:lang w:val="en-GB" w:eastAsia="en-GB"/>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93">
    <w:name w:val="Colorful Shading Accent 1"/>
    <w:basedOn w:val="88"/>
    <w:qFormat/>
    <w:uiPriority w:val="71"/>
    <w:rPr>
      <w:color w:val="000000" w:themeColor="text1"/>
      <w:lang w:val="en-GB" w:eastAsia="en-GB"/>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4D74" w:themeFill="accent1"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rPr>
    </w:tblStylePr>
    <w:tblStylePr w:type="nwCell">
      <w:rPr>
        <w:color w:val="000000" w:themeColor="text1"/>
      </w:rPr>
    </w:tblStylePr>
  </w:style>
  <w:style w:type="table" w:styleId="194">
    <w:name w:val="Colorful Shading Accent 2"/>
    <w:basedOn w:val="88"/>
    <w:qFormat/>
    <w:uiPriority w:val="71"/>
    <w:rPr>
      <w:color w:val="000000" w:themeColor="text1"/>
      <w:lang w:val="en-GB" w:eastAsia="en-GB"/>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95">
    <w:name w:val="Colorful Shading Accent 3"/>
    <w:basedOn w:val="88"/>
    <w:qFormat/>
    <w:uiPriority w:val="71"/>
    <w:rPr>
      <w:color w:val="000000" w:themeColor="text1"/>
      <w:lang w:val="en-GB" w:eastAsia="en-GB"/>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96">
    <w:name w:val="Colorful Shading Accent 4"/>
    <w:basedOn w:val="88"/>
    <w:qFormat/>
    <w:uiPriority w:val="71"/>
    <w:rPr>
      <w:color w:val="000000" w:themeColor="text1"/>
      <w:lang w:val="en-GB" w:eastAsia="en-GB"/>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A62" w:themeFill="accent4"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97">
    <w:name w:val="Colorful Shading Accent 5"/>
    <w:basedOn w:val="88"/>
    <w:uiPriority w:val="71"/>
    <w:rPr>
      <w:color w:val="000000" w:themeColor="text1"/>
      <w:lang w:val="en-GB" w:eastAsia="en-GB"/>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98">
    <w:name w:val="Colorful Shading Accent 6"/>
    <w:basedOn w:val="88"/>
    <w:qFormat/>
    <w:uiPriority w:val="71"/>
    <w:rPr>
      <w:color w:val="000000" w:themeColor="text1"/>
      <w:lang w:val="en-GB" w:eastAsia="en-GB"/>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7" w:themeFill="accent6"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99">
    <w:name w:val="Colorful List Accent 1"/>
    <w:basedOn w:val="88"/>
    <w:qFormat/>
    <w:uiPriority w:val="72"/>
    <w:rPr>
      <w:color w:val="000000" w:themeColor="text1"/>
      <w:lang w:val="en-GB" w:eastAsia="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0">
    <w:name w:val="Colorful List Accent 2"/>
    <w:basedOn w:val="88"/>
    <w:qFormat/>
    <w:uiPriority w:val="72"/>
    <w:rPr>
      <w:color w:val="000000" w:themeColor="text1"/>
      <w:lang w:val="en-GB" w:eastAsia="en-GB"/>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201">
    <w:name w:val="Colorful List Accent 3"/>
    <w:basedOn w:val="88"/>
    <w:qFormat/>
    <w:uiPriority w:val="72"/>
    <w:rPr>
      <w:color w:val="000000" w:themeColor="text1"/>
      <w:lang w:val="en-GB" w:eastAsia="en-GB"/>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02">
    <w:name w:val="Colorful List Accent 4"/>
    <w:basedOn w:val="88"/>
    <w:qFormat/>
    <w:uiPriority w:val="72"/>
    <w:rPr>
      <w:color w:val="000000" w:themeColor="text1"/>
      <w:lang w:val="en-GB" w:eastAsia="en-GB"/>
    </w:rPr>
    <w:tblPr>
      <w:tblStyleRowBandSize w:val="1"/>
      <w:tblStyleColBandSize w:val="1"/>
    </w:tblPr>
    <w:tcPr>
      <w:shd w:val="clear" w:color="auto" w:fill="F2EFF5"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03">
    <w:name w:val="Colorful List Accent 5"/>
    <w:basedOn w:val="88"/>
    <w:qFormat/>
    <w:uiPriority w:val="72"/>
    <w:rPr>
      <w:color w:val="000000" w:themeColor="text1"/>
      <w:lang w:val="en-GB"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3730A" w:themeFill="accent6" w:themeFillShade="CC"/>
      </w:tcPr>
    </w:tblStylePr>
    <w:tblStylePr w:type="lastRow">
      <w:rPr>
        <w:b/>
        <w:bCs/>
        <w:color w:val="F3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204">
    <w:name w:val="Colorful List Accent 6"/>
    <w:basedOn w:val="88"/>
    <w:qFormat/>
    <w:uiPriority w:val="72"/>
    <w:rPr>
      <w:color w:val="000000" w:themeColor="text1"/>
      <w:lang w:val="en-GB" w:eastAsia="en-GB"/>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205">
    <w:name w:val="Colorful Grid Accent 1"/>
    <w:basedOn w:val="88"/>
    <w:qFormat/>
    <w:uiPriority w:val="73"/>
    <w:rPr>
      <w:color w:val="000000" w:themeColor="text1"/>
      <w:lang w:val="en-GB" w:eastAsia="en-GB"/>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6091" w:themeFill="accent1" w:themeFillShade="BF"/>
      </w:tcPr>
    </w:tblStylePr>
    <w:tblStylePr w:type="lastCol">
      <w:rPr>
        <w:color w:val="FFFFFF" w:themeColor="background1"/>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06">
    <w:name w:val="Colorful Grid Accent 2"/>
    <w:basedOn w:val="88"/>
    <w:qFormat/>
    <w:uiPriority w:val="73"/>
    <w:rPr>
      <w:color w:val="000000" w:themeColor="text1"/>
      <w:lang w:val="en-GB" w:eastAsia="en-GB"/>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734" w:themeFill="accent2" w:themeFillShade="BF"/>
      </w:tcPr>
    </w:tblStylePr>
    <w:tblStylePr w:type="lastCol">
      <w:rPr>
        <w:color w:val="FFFFFF" w:themeColor="background1"/>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07">
    <w:name w:val="Colorful Grid Accent 3"/>
    <w:basedOn w:val="88"/>
    <w:qFormat/>
    <w:uiPriority w:val="73"/>
    <w:rPr>
      <w:color w:val="000000" w:themeColor="text1"/>
      <w:lang w:val="en-GB" w:eastAsia="en-GB"/>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08">
    <w:name w:val="Colorful Grid Accent 4"/>
    <w:basedOn w:val="88"/>
    <w:qFormat/>
    <w:uiPriority w:val="73"/>
    <w:rPr>
      <w:color w:val="000000" w:themeColor="text1"/>
      <w:lang w:val="en-GB" w:eastAsia="en-GB"/>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09">
    <w:name w:val="Colorful Grid Accent 5"/>
    <w:basedOn w:val="88"/>
    <w:qFormat/>
    <w:uiPriority w:val="73"/>
    <w:rPr>
      <w:color w:val="000000" w:themeColor="text1"/>
      <w:lang w:val="en-GB" w:eastAsia="en-GB"/>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0">
    <w:name w:val="Colorful Grid Accent 6"/>
    <w:basedOn w:val="88"/>
    <w:qFormat/>
    <w:uiPriority w:val="99"/>
    <w:rPr>
      <w:color w:val="000000" w:themeColor="text1"/>
      <w:lang w:val="en-GB" w:eastAsia="en-GB"/>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9" w:themeFill="accent6" w:themeFillShade="BF"/>
      </w:tcPr>
    </w:tblStylePr>
    <w:tblStylePr w:type="lastCol">
      <w:rPr>
        <w:color w:val="FFFFFF" w:themeColor="background1"/>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212">
    <w:name w:val="Strong"/>
    <w:basedOn w:val="211"/>
    <w:qFormat/>
    <w:uiPriority w:val="22"/>
    <w:rPr>
      <w:b/>
      <w:bCs/>
    </w:rPr>
  </w:style>
  <w:style w:type="character" w:styleId="213">
    <w:name w:val="endnote reference"/>
    <w:basedOn w:val="211"/>
    <w:qFormat/>
    <w:uiPriority w:val="0"/>
    <w:rPr>
      <w:vertAlign w:val="superscript"/>
    </w:rPr>
  </w:style>
  <w:style w:type="character" w:styleId="214">
    <w:name w:val="page number"/>
    <w:basedOn w:val="211"/>
    <w:qFormat/>
    <w:uiPriority w:val="0"/>
  </w:style>
  <w:style w:type="character" w:styleId="215">
    <w:name w:val="FollowedHyperlink"/>
    <w:basedOn w:val="211"/>
    <w:qFormat/>
    <w:uiPriority w:val="99"/>
    <w:rPr>
      <w:color w:val="800080"/>
      <w:u w:val="single"/>
    </w:rPr>
  </w:style>
  <w:style w:type="character" w:styleId="216">
    <w:name w:val="Emphasis"/>
    <w:basedOn w:val="211"/>
    <w:qFormat/>
    <w:uiPriority w:val="20"/>
    <w:rPr>
      <w:i/>
      <w:iCs/>
    </w:rPr>
  </w:style>
  <w:style w:type="character" w:styleId="217">
    <w:name w:val="line number"/>
    <w:basedOn w:val="211"/>
    <w:semiHidden/>
    <w:qFormat/>
    <w:uiPriority w:val="0"/>
  </w:style>
  <w:style w:type="character" w:styleId="218">
    <w:name w:val="HTML Definition"/>
    <w:basedOn w:val="211"/>
    <w:semiHidden/>
    <w:qFormat/>
    <w:uiPriority w:val="0"/>
    <w:rPr>
      <w:i/>
      <w:iCs/>
    </w:rPr>
  </w:style>
  <w:style w:type="character" w:styleId="219">
    <w:name w:val="HTML Typewriter"/>
    <w:basedOn w:val="211"/>
    <w:semiHidden/>
    <w:qFormat/>
    <w:uiPriority w:val="0"/>
    <w:rPr>
      <w:rFonts w:ascii="Courier New" w:hAnsi="Courier New" w:cs="Courier New"/>
      <w:sz w:val="20"/>
      <w:szCs w:val="20"/>
    </w:rPr>
  </w:style>
  <w:style w:type="character" w:styleId="220">
    <w:name w:val="HTML Acronym"/>
    <w:basedOn w:val="211"/>
    <w:semiHidden/>
    <w:qFormat/>
    <w:uiPriority w:val="0"/>
  </w:style>
  <w:style w:type="character" w:styleId="221">
    <w:name w:val="HTML Variable"/>
    <w:basedOn w:val="211"/>
    <w:semiHidden/>
    <w:qFormat/>
    <w:uiPriority w:val="0"/>
    <w:rPr>
      <w:i/>
      <w:iCs/>
    </w:rPr>
  </w:style>
  <w:style w:type="character" w:styleId="222">
    <w:name w:val="Hyperlink"/>
    <w:basedOn w:val="211"/>
    <w:unhideWhenUsed/>
    <w:qFormat/>
    <w:uiPriority w:val="99"/>
    <w:rPr>
      <w:color w:val="0000FF" w:themeColor="hyperlink"/>
      <w:u w:val="single"/>
    </w:rPr>
  </w:style>
  <w:style w:type="character" w:styleId="223">
    <w:name w:val="HTML Code"/>
    <w:basedOn w:val="211"/>
    <w:semiHidden/>
    <w:qFormat/>
    <w:uiPriority w:val="0"/>
    <w:rPr>
      <w:rFonts w:ascii="Courier New" w:hAnsi="Courier New" w:cs="Courier New"/>
      <w:sz w:val="20"/>
      <w:szCs w:val="20"/>
    </w:rPr>
  </w:style>
  <w:style w:type="character" w:styleId="224">
    <w:name w:val="annotation reference"/>
    <w:basedOn w:val="211"/>
    <w:qFormat/>
    <w:uiPriority w:val="99"/>
    <w:rPr>
      <w:sz w:val="16"/>
      <w:szCs w:val="16"/>
    </w:rPr>
  </w:style>
  <w:style w:type="character" w:styleId="225">
    <w:name w:val="HTML Cite"/>
    <w:basedOn w:val="211"/>
    <w:semiHidden/>
    <w:qFormat/>
    <w:uiPriority w:val="0"/>
    <w:rPr>
      <w:i/>
      <w:iCs/>
    </w:rPr>
  </w:style>
  <w:style w:type="character" w:styleId="226">
    <w:name w:val="footnote reference"/>
    <w:basedOn w:val="211"/>
    <w:qFormat/>
    <w:uiPriority w:val="0"/>
    <w:rPr>
      <w:vertAlign w:val="superscript"/>
    </w:rPr>
  </w:style>
  <w:style w:type="character" w:styleId="227">
    <w:name w:val="HTML Keyboard"/>
    <w:basedOn w:val="211"/>
    <w:semiHidden/>
    <w:qFormat/>
    <w:uiPriority w:val="0"/>
    <w:rPr>
      <w:rFonts w:ascii="Courier New" w:hAnsi="Courier New" w:cs="Courier New"/>
      <w:sz w:val="20"/>
      <w:szCs w:val="20"/>
    </w:rPr>
  </w:style>
  <w:style w:type="character" w:styleId="228">
    <w:name w:val="HTML Sample"/>
    <w:basedOn w:val="211"/>
    <w:semiHidden/>
    <w:qFormat/>
    <w:uiPriority w:val="0"/>
    <w:rPr>
      <w:rFonts w:ascii="Courier New" w:hAnsi="Courier New" w:cs="Courier New"/>
    </w:rPr>
  </w:style>
  <w:style w:type="character" w:customStyle="1" w:styleId="229">
    <w:name w:val="页眉 Char"/>
    <w:basedOn w:val="211"/>
    <w:link w:val="57"/>
    <w:qFormat/>
    <w:uiPriority w:val="99"/>
    <w:rPr>
      <w:sz w:val="18"/>
      <w:szCs w:val="18"/>
    </w:rPr>
  </w:style>
  <w:style w:type="character" w:customStyle="1" w:styleId="230">
    <w:name w:val="页脚 Char"/>
    <w:basedOn w:val="211"/>
    <w:link w:val="55"/>
    <w:qFormat/>
    <w:uiPriority w:val="99"/>
    <w:rPr>
      <w:sz w:val="18"/>
      <w:szCs w:val="18"/>
    </w:rPr>
  </w:style>
  <w:style w:type="character" w:customStyle="1" w:styleId="231">
    <w:name w:val="正文文本 Char"/>
    <w:basedOn w:val="211"/>
    <w:link w:val="34"/>
    <w:qFormat/>
    <w:uiPriority w:val="1"/>
    <w:rPr>
      <w:rFonts w:ascii="Garamond" w:hAnsi="Garamond" w:eastAsia="PMingLiU" w:cs="Arial"/>
      <w:kern w:val="0"/>
      <w:sz w:val="22"/>
      <w:szCs w:val="20"/>
      <w:lang w:val="en-GB" w:eastAsia="en-US"/>
    </w:rPr>
  </w:style>
  <w:style w:type="paragraph" w:customStyle="1" w:styleId="232">
    <w:name w:val="Address"/>
    <w:link w:val="233"/>
    <w:semiHidden/>
    <w:qFormat/>
    <w:uiPriority w:val="0"/>
    <w:pPr>
      <w:spacing w:line="170" w:lineRule="atLeast"/>
    </w:pPr>
    <w:rPr>
      <w:rFonts w:ascii="Arial" w:hAnsi="Arial" w:cs="Arial" w:eastAsiaTheme="minorEastAsia"/>
      <w:sz w:val="14"/>
      <w:szCs w:val="14"/>
      <w:lang w:val="en-GB" w:eastAsia="en-GB" w:bidi="ar-SA"/>
    </w:rPr>
  </w:style>
  <w:style w:type="character" w:customStyle="1" w:styleId="233">
    <w:name w:val="Address Char"/>
    <w:basedOn w:val="211"/>
    <w:link w:val="232"/>
    <w:qFormat/>
    <w:uiPriority w:val="0"/>
    <w:rPr>
      <w:rFonts w:ascii="Arial" w:hAnsi="Arial" w:cs="Arial"/>
      <w:kern w:val="0"/>
      <w:sz w:val="14"/>
      <w:szCs w:val="14"/>
      <w:lang w:val="en-GB" w:eastAsia="en-GB"/>
    </w:rPr>
  </w:style>
  <w:style w:type="paragraph" w:customStyle="1" w:styleId="234">
    <w:name w:val="Trading Name"/>
    <w:qFormat/>
    <w:uiPriority w:val="0"/>
    <w:pPr>
      <w:spacing w:line="180" w:lineRule="atLeast"/>
    </w:pPr>
    <w:rPr>
      <w:rFonts w:ascii="Arial Narrow" w:hAnsi="Arial Narrow" w:eastAsia="黑体" w:cs="Arial"/>
      <w:b/>
      <w:sz w:val="14"/>
      <w:lang w:val="en-US" w:eastAsia="en-US" w:bidi="ar-SA"/>
    </w:rPr>
  </w:style>
  <w:style w:type="paragraph" w:customStyle="1" w:styleId="235">
    <w:name w:val="Half Line Break"/>
    <w:qFormat/>
    <w:uiPriority w:val="0"/>
    <w:rPr>
      <w:rFonts w:ascii="Arial Narrow" w:hAnsi="Arial Narrow" w:eastAsia="黑体" w:cs="Arial"/>
      <w:b/>
      <w:sz w:val="7"/>
      <w:lang w:val="en-US" w:eastAsia="en-US" w:bidi="ar-SA"/>
    </w:rPr>
  </w:style>
  <w:style w:type="paragraph" w:customStyle="1" w:styleId="236">
    <w:name w:val="Partner Address"/>
    <w:uiPriority w:val="0"/>
    <w:rPr>
      <w:rFonts w:ascii="Arial Narrow" w:hAnsi="Arial Narrow" w:eastAsia="黑体" w:cs="Arial"/>
      <w:sz w:val="14"/>
      <w:lang w:val="en-US" w:eastAsia="en-US" w:bidi="ar-SA"/>
    </w:rPr>
  </w:style>
  <w:style w:type="paragraph" w:customStyle="1" w:styleId="237">
    <w:name w:val="Copyright"/>
    <w:semiHidden/>
    <w:qFormat/>
    <w:uiPriority w:val="0"/>
    <w:pPr>
      <w:spacing w:line="220" w:lineRule="atLeast"/>
    </w:pPr>
    <w:rPr>
      <w:rFonts w:ascii="Garamond" w:hAnsi="Garamond" w:eastAsia="PMingLiU" w:cs="Arial"/>
      <w:lang w:val="en-GB" w:eastAsia="en-US" w:bidi="ar-SA"/>
    </w:rPr>
  </w:style>
  <w:style w:type="paragraph" w:customStyle="1" w:styleId="238">
    <w:name w:val="致同正文文本"/>
    <w:basedOn w:val="1"/>
    <w:link w:val="239"/>
    <w:qFormat/>
    <w:uiPriority w:val="0"/>
    <w:pPr>
      <w:widowControl/>
      <w:spacing w:afterLines="100" w:line="360" w:lineRule="exact"/>
      <w:ind w:firstLine="440" w:firstLineChars="200"/>
      <w:jc w:val="left"/>
    </w:pPr>
    <w:rPr>
      <w:rFonts w:cs="Arial" w:asciiTheme="minorEastAsia" w:hAnsiTheme="minorEastAsia"/>
      <w:kern w:val="0"/>
      <w:sz w:val="22"/>
      <w:lang w:val="en-GB"/>
    </w:rPr>
  </w:style>
  <w:style w:type="character" w:customStyle="1" w:styleId="239">
    <w:name w:val="致同正文文本 Char"/>
    <w:basedOn w:val="211"/>
    <w:link w:val="238"/>
    <w:qFormat/>
    <w:uiPriority w:val="0"/>
    <w:rPr>
      <w:rFonts w:cs="Arial" w:asciiTheme="minorEastAsia" w:hAnsiTheme="minorEastAsia"/>
      <w:kern w:val="0"/>
      <w:sz w:val="22"/>
      <w:lang w:val="en-GB"/>
    </w:rPr>
  </w:style>
  <w:style w:type="character" w:customStyle="1" w:styleId="240">
    <w:name w:val="标题 1 Char"/>
    <w:basedOn w:val="211"/>
    <w:link w:val="3"/>
    <w:qFormat/>
    <w:uiPriority w:val="0"/>
    <w:rPr>
      <w:rFonts w:ascii="Calibri" w:hAnsi="Calibri" w:eastAsia="宋体"/>
      <w:b/>
      <w:bCs/>
      <w:kern w:val="44"/>
      <w:sz w:val="44"/>
      <w:szCs w:val="44"/>
    </w:rPr>
  </w:style>
  <w:style w:type="character" w:customStyle="1" w:styleId="241">
    <w:name w:val="标题 2 Char"/>
    <w:basedOn w:val="211"/>
    <w:link w:val="4"/>
    <w:qFormat/>
    <w:uiPriority w:val="0"/>
    <w:rPr>
      <w:rFonts w:ascii="Arial" w:hAnsi="Arial" w:eastAsia="黑体" w:cstheme="majorBidi"/>
      <w:b/>
      <w:bCs/>
      <w:kern w:val="0"/>
      <w:sz w:val="32"/>
      <w:szCs w:val="32"/>
    </w:rPr>
  </w:style>
  <w:style w:type="character" w:customStyle="1" w:styleId="242">
    <w:name w:val="标题 4 Char"/>
    <w:basedOn w:val="211"/>
    <w:link w:val="6"/>
    <w:qFormat/>
    <w:uiPriority w:val="0"/>
    <w:rPr>
      <w:rFonts w:ascii="Arial" w:hAnsi="Arial" w:eastAsia="黑体" w:cstheme="majorBidi"/>
      <w:b/>
      <w:bCs/>
      <w:kern w:val="0"/>
      <w:sz w:val="28"/>
      <w:szCs w:val="28"/>
    </w:rPr>
  </w:style>
  <w:style w:type="character" w:customStyle="1" w:styleId="243">
    <w:name w:val="纯文本 Char"/>
    <w:basedOn w:val="211"/>
    <w:link w:val="45"/>
    <w:qFormat/>
    <w:uiPriority w:val="0"/>
    <w:rPr>
      <w:rFonts w:ascii="宋体" w:hAnsi="Courier New" w:eastAsia="宋体" w:cs="Times New Roman"/>
      <w:szCs w:val="21"/>
    </w:rPr>
  </w:style>
  <w:style w:type="paragraph" w:customStyle="1" w:styleId="244">
    <w:name w:val="样式 样式 样式 样式 标题 2 + 宋体 五号 非加粗 黑色 + 段前: 6 磅 段后: 0 磅 行距: 单倍行距 + 段前:..."/>
    <w:basedOn w:val="1"/>
    <w:qFormat/>
    <w:uiPriority w:val="0"/>
    <w:pPr>
      <w:keepNext/>
      <w:keepLines/>
      <w:adjustRightInd w:val="0"/>
      <w:spacing w:before="240"/>
      <w:ind w:left="840" w:hanging="420"/>
      <w:jc w:val="left"/>
      <w:textAlignment w:val="baseline"/>
      <w:outlineLvl w:val="1"/>
    </w:pPr>
    <w:rPr>
      <w:rFonts w:ascii="宋体" w:hAnsi="宋体" w:eastAsia="宋体" w:cs="宋体"/>
      <w:b/>
      <w:bCs/>
      <w:color w:val="000000"/>
      <w:kern w:val="0"/>
      <w:szCs w:val="20"/>
    </w:rPr>
  </w:style>
  <w:style w:type="character" w:customStyle="1" w:styleId="245">
    <w:name w:val="文档结构图 Char"/>
    <w:basedOn w:val="211"/>
    <w:link w:val="26"/>
    <w:qFormat/>
    <w:uiPriority w:val="99"/>
    <w:rPr>
      <w:rFonts w:ascii="宋体" w:eastAsia="宋体"/>
      <w:sz w:val="18"/>
      <w:szCs w:val="18"/>
    </w:rPr>
  </w:style>
  <w:style w:type="paragraph" w:customStyle="1" w:styleId="246">
    <w:name w:val="致同新1级标题"/>
    <w:basedOn w:val="3"/>
    <w:link w:val="538"/>
    <w:qFormat/>
    <w:uiPriority w:val="0"/>
    <w:pPr>
      <w:numPr>
        <w:numId w:val="0"/>
      </w:numPr>
      <w:adjustRightInd/>
      <w:spacing w:before="0" w:after="360" w:line="800" w:lineRule="atLeast"/>
      <w:jc w:val="both"/>
      <w:textAlignment w:val="auto"/>
    </w:pPr>
    <w:rPr>
      <w:rFonts w:asciiTheme="minorHAnsi" w:hAnsiTheme="minorHAnsi" w:eastAsiaTheme="minorEastAsia"/>
      <w:color w:val="4F2D7F"/>
      <w:sz w:val="52"/>
      <w:szCs w:val="52"/>
    </w:rPr>
  </w:style>
  <w:style w:type="character" w:customStyle="1" w:styleId="247">
    <w:name w:val="标题 3 Char"/>
    <w:basedOn w:val="211"/>
    <w:link w:val="5"/>
    <w:qFormat/>
    <w:uiPriority w:val="9"/>
    <w:rPr>
      <w:rFonts w:ascii="Times New Roman" w:hAnsi="Times New Roman" w:eastAsia="宋体"/>
      <w:b/>
      <w:bCs/>
      <w:sz w:val="32"/>
      <w:szCs w:val="32"/>
    </w:rPr>
  </w:style>
  <w:style w:type="character" w:customStyle="1" w:styleId="248">
    <w:name w:val="标题 5 Char"/>
    <w:basedOn w:val="211"/>
    <w:link w:val="7"/>
    <w:qFormat/>
    <w:uiPriority w:val="9"/>
    <w:rPr>
      <w:rFonts w:asciiTheme="majorHAnsi" w:hAnsiTheme="majorHAnsi"/>
      <w:b/>
      <w:bCs/>
      <w:i/>
      <w:iCs/>
      <w:kern w:val="0"/>
      <w:sz w:val="26"/>
      <w:szCs w:val="26"/>
      <w:lang w:val="en-GB" w:eastAsia="en-GB"/>
    </w:rPr>
  </w:style>
  <w:style w:type="character" w:customStyle="1" w:styleId="249">
    <w:name w:val="标题 6 Char"/>
    <w:basedOn w:val="211"/>
    <w:link w:val="8"/>
    <w:qFormat/>
    <w:uiPriority w:val="0"/>
    <w:rPr>
      <w:rFonts w:asciiTheme="majorHAnsi" w:hAnsiTheme="majorHAnsi" w:cstheme="majorBidi"/>
      <w:b/>
      <w:bCs/>
      <w:kern w:val="0"/>
      <w:sz w:val="22"/>
      <w:lang w:val="en-GB" w:eastAsia="en-GB"/>
    </w:rPr>
  </w:style>
  <w:style w:type="character" w:customStyle="1" w:styleId="250">
    <w:name w:val="标题 7 Char"/>
    <w:basedOn w:val="211"/>
    <w:link w:val="9"/>
    <w:semiHidden/>
    <w:qFormat/>
    <w:uiPriority w:val="0"/>
    <w:rPr>
      <w:rFonts w:asciiTheme="majorHAnsi" w:hAnsiTheme="majorHAnsi"/>
      <w:kern w:val="0"/>
      <w:sz w:val="20"/>
      <w:szCs w:val="20"/>
      <w:lang w:val="en-GB" w:eastAsia="en-GB"/>
    </w:rPr>
  </w:style>
  <w:style w:type="character" w:customStyle="1" w:styleId="251">
    <w:name w:val="标题 8 Char"/>
    <w:basedOn w:val="211"/>
    <w:link w:val="10"/>
    <w:semiHidden/>
    <w:qFormat/>
    <w:uiPriority w:val="0"/>
    <w:rPr>
      <w:rFonts w:asciiTheme="majorHAnsi" w:hAnsiTheme="majorHAnsi" w:cstheme="majorBidi"/>
      <w:i/>
      <w:iCs/>
      <w:kern w:val="0"/>
      <w:sz w:val="20"/>
      <w:szCs w:val="20"/>
      <w:lang w:val="en-GB" w:eastAsia="en-GB"/>
    </w:rPr>
  </w:style>
  <w:style w:type="character" w:customStyle="1" w:styleId="252">
    <w:name w:val="标题 9 Char"/>
    <w:basedOn w:val="211"/>
    <w:link w:val="11"/>
    <w:semiHidden/>
    <w:qFormat/>
    <w:uiPriority w:val="0"/>
    <w:rPr>
      <w:rFonts w:cs="Arial" w:asciiTheme="majorHAnsi" w:hAnsiTheme="majorHAnsi"/>
      <w:kern w:val="0"/>
      <w:sz w:val="22"/>
      <w:lang w:val="en-GB" w:eastAsia="en-GB"/>
    </w:rPr>
  </w:style>
  <w:style w:type="character" w:customStyle="1" w:styleId="253">
    <w:name w:val="批注框文本 Char"/>
    <w:basedOn w:val="211"/>
    <w:link w:val="54"/>
    <w:qFormat/>
    <w:uiPriority w:val="99"/>
    <w:rPr>
      <w:sz w:val="18"/>
      <w:szCs w:val="18"/>
    </w:rPr>
  </w:style>
  <w:style w:type="paragraph" w:customStyle="1" w:styleId="254">
    <w:name w:val="中文正文、"/>
    <w:basedOn w:val="1"/>
    <w:link w:val="271"/>
    <w:qFormat/>
    <w:uiPriority w:val="0"/>
    <w:pPr>
      <w:spacing w:line="360" w:lineRule="auto"/>
      <w:ind w:firstLine="420" w:firstLineChars="200"/>
      <w:jc w:val="left"/>
    </w:pPr>
    <w:rPr>
      <w:rFonts w:ascii="Times New Roman" w:hAnsi="Times New Roman" w:eastAsia="宋体" w:cs="Times New Roman"/>
      <w:szCs w:val="21"/>
    </w:rPr>
  </w:style>
  <w:style w:type="paragraph" w:styleId="255">
    <w:name w:val="List Paragraph"/>
    <w:basedOn w:val="1"/>
    <w:link w:val="260"/>
    <w:qFormat/>
    <w:uiPriority w:val="34"/>
    <w:pPr>
      <w:ind w:firstLine="420" w:firstLineChars="200"/>
    </w:pPr>
    <w:rPr>
      <w:rFonts w:ascii="Times New Roman" w:hAnsi="Times New Roman" w:eastAsia="宋体"/>
      <w:szCs w:val="24"/>
    </w:rPr>
  </w:style>
  <w:style w:type="paragraph" w:customStyle="1" w:styleId="256">
    <w:name w:val="致同新3级"/>
    <w:basedOn w:val="5"/>
    <w:link w:val="257"/>
    <w:qFormat/>
    <w:uiPriority w:val="0"/>
    <w:pPr>
      <w:spacing w:before="100" w:beforeAutospacing="1" w:afterLines="100" w:line="480" w:lineRule="exact"/>
      <w:ind w:firstLine="200" w:firstLineChars="200"/>
    </w:pPr>
    <w:rPr>
      <w:rFonts w:asciiTheme="minorEastAsia" w:hAnsiTheme="minorEastAsia" w:eastAsiaTheme="minorEastAsia"/>
      <w:color w:val="C30045"/>
    </w:rPr>
  </w:style>
  <w:style w:type="character" w:customStyle="1" w:styleId="257">
    <w:name w:val="致同新3级 Char"/>
    <w:basedOn w:val="211"/>
    <w:link w:val="256"/>
    <w:qFormat/>
    <w:uiPriority w:val="0"/>
    <w:rPr>
      <w:rFonts w:asciiTheme="minorEastAsia" w:hAnsiTheme="minorEastAsia"/>
      <w:b/>
      <w:bCs/>
      <w:color w:val="C30045"/>
      <w:sz w:val="32"/>
      <w:szCs w:val="32"/>
    </w:rPr>
  </w:style>
  <w:style w:type="paragraph" w:customStyle="1" w:styleId="258">
    <w:name w:val="ZB标题"/>
    <w:basedOn w:val="1"/>
    <w:qFormat/>
    <w:uiPriority w:val="0"/>
    <w:pPr>
      <w:spacing w:line="360" w:lineRule="auto"/>
      <w:ind w:firstLine="200" w:firstLineChars="200"/>
      <w:jc w:val="center"/>
    </w:pPr>
    <w:rPr>
      <w:rFonts w:ascii="Times New Roman" w:hAnsi="Times New Roman" w:eastAsia="黑体" w:cs="Times New Roman"/>
      <w:b/>
      <w:sz w:val="72"/>
      <w:szCs w:val="24"/>
    </w:rPr>
  </w:style>
  <w:style w:type="paragraph" w:customStyle="1" w:styleId="259">
    <w:name w:val="致同新1级"/>
    <w:basedOn w:val="3"/>
    <w:link w:val="262"/>
    <w:qFormat/>
    <w:uiPriority w:val="0"/>
    <w:pPr>
      <w:numPr>
        <w:numId w:val="0"/>
      </w:numPr>
      <w:adjustRightInd/>
      <w:spacing w:before="0" w:afterLines="100" w:line="800" w:lineRule="atLeast"/>
      <w:ind w:firstLine="200" w:firstLineChars="200"/>
      <w:jc w:val="both"/>
      <w:textAlignment w:val="auto"/>
    </w:pPr>
    <w:rPr>
      <w:rFonts w:asciiTheme="majorHAnsi" w:hAnsiTheme="majorHAnsi" w:eastAsiaTheme="minorEastAsia"/>
      <w:color w:val="4F2D7F"/>
      <w:sz w:val="52"/>
      <w:szCs w:val="52"/>
    </w:rPr>
  </w:style>
  <w:style w:type="character" w:customStyle="1" w:styleId="260">
    <w:name w:val="列出段落 Char"/>
    <w:link w:val="255"/>
    <w:qFormat/>
    <w:uiPriority w:val="34"/>
    <w:rPr>
      <w:rFonts w:ascii="Times New Roman" w:hAnsi="Times New Roman" w:eastAsia="宋体"/>
      <w:szCs w:val="24"/>
    </w:rPr>
  </w:style>
  <w:style w:type="character" w:customStyle="1" w:styleId="261">
    <w:name w:val="正文文本缩进 Char"/>
    <w:basedOn w:val="211"/>
    <w:link w:val="35"/>
    <w:qFormat/>
    <w:uiPriority w:val="0"/>
  </w:style>
  <w:style w:type="character" w:customStyle="1" w:styleId="262">
    <w:name w:val="致同新1级 Char"/>
    <w:basedOn w:val="211"/>
    <w:link w:val="259"/>
    <w:qFormat/>
    <w:locked/>
    <w:uiPriority w:val="0"/>
    <w:rPr>
      <w:rFonts w:asciiTheme="majorHAnsi" w:hAnsiTheme="majorHAnsi"/>
      <w:b/>
      <w:bCs/>
      <w:color w:val="4F2D7F"/>
      <w:kern w:val="44"/>
      <w:sz w:val="52"/>
      <w:szCs w:val="52"/>
    </w:rPr>
  </w:style>
  <w:style w:type="paragraph" w:customStyle="1" w:styleId="263">
    <w:name w:val="致同2级新"/>
    <w:basedOn w:val="1"/>
    <w:link w:val="264"/>
    <w:qFormat/>
    <w:uiPriority w:val="0"/>
    <w:pPr>
      <w:keepNext/>
      <w:keepLines/>
      <w:spacing w:after="240" w:line="480" w:lineRule="exact"/>
      <w:outlineLvl w:val="1"/>
    </w:pPr>
    <w:rPr>
      <w:rFonts w:asciiTheme="minorEastAsia" w:hAnsiTheme="minorEastAsia" w:cstheme="majorBidi"/>
      <w:b/>
      <w:bCs/>
      <w:color w:val="4F2D7F"/>
      <w:sz w:val="40"/>
      <w:szCs w:val="40"/>
    </w:rPr>
  </w:style>
  <w:style w:type="character" w:customStyle="1" w:styleId="264">
    <w:name w:val="致同2级新 Char"/>
    <w:basedOn w:val="211"/>
    <w:link w:val="263"/>
    <w:qFormat/>
    <w:uiPriority w:val="0"/>
    <w:rPr>
      <w:rFonts w:asciiTheme="minorEastAsia" w:hAnsiTheme="minorEastAsia" w:cstheme="majorBidi"/>
      <w:b/>
      <w:bCs/>
      <w:color w:val="4F2D7F"/>
      <w:sz w:val="40"/>
      <w:szCs w:val="40"/>
    </w:rPr>
  </w:style>
  <w:style w:type="paragraph" w:customStyle="1" w:styleId="265">
    <w:name w:val="致同条2级"/>
    <w:basedOn w:val="1"/>
    <w:link w:val="266"/>
    <w:qFormat/>
    <w:uiPriority w:val="0"/>
    <w:pPr>
      <w:shd w:val="clear" w:color="auto" w:fill="4F2D7F"/>
      <w:autoSpaceDE w:val="0"/>
      <w:autoSpaceDN w:val="0"/>
      <w:adjustRightInd w:val="0"/>
      <w:spacing w:afterLines="100" w:line="480" w:lineRule="exact"/>
      <w:ind w:firstLine="200" w:firstLineChars="200"/>
      <w:jc w:val="left"/>
      <w:outlineLvl w:val="1"/>
    </w:pPr>
    <w:rPr>
      <w:rFonts w:ascii="Garamond" w:hAnsi="Garamond" w:eastAsia="宋体" w:cs="Stempel Garamond"/>
      <w:b/>
      <w:bCs/>
      <w:iCs/>
      <w:color w:val="FFFFFF"/>
      <w:kern w:val="0"/>
      <w:sz w:val="40"/>
      <w:szCs w:val="24"/>
    </w:rPr>
  </w:style>
  <w:style w:type="character" w:customStyle="1" w:styleId="266">
    <w:name w:val="致同条2级 Char"/>
    <w:basedOn w:val="211"/>
    <w:link w:val="265"/>
    <w:qFormat/>
    <w:uiPriority w:val="0"/>
    <w:rPr>
      <w:rFonts w:ascii="Garamond" w:hAnsi="Garamond" w:eastAsia="宋体" w:cs="Stempel Garamond"/>
      <w:b/>
      <w:bCs/>
      <w:iCs/>
      <w:color w:val="FFFFFF"/>
      <w:kern w:val="0"/>
      <w:sz w:val="40"/>
      <w:szCs w:val="24"/>
      <w:shd w:val="clear" w:color="auto" w:fill="4F2D7F"/>
    </w:rPr>
  </w:style>
  <w:style w:type="character" w:customStyle="1" w:styleId="267">
    <w:name w:val="日期 Char"/>
    <w:basedOn w:val="211"/>
    <w:link w:val="50"/>
    <w:qFormat/>
    <w:uiPriority w:val="99"/>
  </w:style>
  <w:style w:type="paragraph" w:customStyle="1" w:styleId="268">
    <w:name w:val="标题一、"/>
    <w:basedOn w:val="1"/>
    <w:qFormat/>
    <w:uiPriority w:val="0"/>
    <w:pPr>
      <w:spacing w:beforeLines="100" w:afterLines="100" w:line="360" w:lineRule="auto"/>
      <w:jc w:val="center"/>
      <w:outlineLvl w:val="0"/>
    </w:pPr>
    <w:rPr>
      <w:rFonts w:ascii="黑体" w:hAnsi="Times New Roman" w:eastAsia="黑体" w:cs="Times New Roman"/>
      <w:sz w:val="32"/>
      <w:szCs w:val="32"/>
    </w:rPr>
  </w:style>
  <w:style w:type="paragraph" w:customStyle="1" w:styleId="269">
    <w:name w:val="TOC 标题1"/>
    <w:basedOn w:val="3"/>
    <w:next w:val="1"/>
    <w:unhideWhenUsed/>
    <w:qFormat/>
    <w:uiPriority w:val="39"/>
    <w:pPr>
      <w:widowControl/>
      <w:numPr>
        <w:numId w:val="0"/>
      </w:numPr>
      <w:adjustRightInd/>
      <w:spacing w:before="480" w:after="0" w:line="276" w:lineRule="auto"/>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70">
    <w:name w:val="标题二、"/>
    <w:basedOn w:val="1"/>
    <w:qFormat/>
    <w:uiPriority w:val="0"/>
    <w:pPr>
      <w:spacing w:line="360" w:lineRule="auto"/>
      <w:ind w:firstLine="200" w:firstLineChars="200"/>
      <w:outlineLvl w:val="2"/>
    </w:pPr>
    <w:rPr>
      <w:rFonts w:ascii="宋体" w:hAnsi="宋体" w:eastAsia="宋体" w:cs="Times New Roman"/>
      <w:b/>
      <w:szCs w:val="21"/>
    </w:rPr>
  </w:style>
  <w:style w:type="character" w:customStyle="1" w:styleId="271">
    <w:name w:val="中文正文、 Char Char"/>
    <w:link w:val="254"/>
    <w:qFormat/>
    <w:uiPriority w:val="0"/>
    <w:rPr>
      <w:rFonts w:ascii="Times New Roman" w:hAnsi="Times New Roman" w:eastAsia="宋体" w:cs="Times New Roman"/>
      <w:szCs w:val="21"/>
    </w:rPr>
  </w:style>
  <w:style w:type="paragraph" w:customStyle="1" w:styleId="272">
    <w:name w:val="表格"/>
    <w:basedOn w:val="1"/>
    <w:next w:val="1"/>
    <w:link w:val="273"/>
    <w:qFormat/>
    <w:uiPriority w:val="0"/>
    <w:pPr>
      <w:tabs>
        <w:tab w:val="left" w:pos="628"/>
      </w:tabs>
      <w:adjustRightInd w:val="0"/>
      <w:snapToGrid w:val="0"/>
      <w:spacing w:beforeLines="50" w:afterLines="50"/>
      <w:ind w:left="160" w:leftChars="-24" w:hanging="210" w:hangingChars="100"/>
      <w:jc w:val="center"/>
    </w:pPr>
    <w:rPr>
      <w:rFonts w:ascii="宋体" w:hAnsi="宋体" w:eastAsia="宋体" w:cs="Times New Roman"/>
      <w:color w:val="993300"/>
      <w:szCs w:val="20"/>
    </w:rPr>
  </w:style>
  <w:style w:type="character" w:customStyle="1" w:styleId="273">
    <w:name w:val="表格 Char"/>
    <w:link w:val="272"/>
    <w:qFormat/>
    <w:uiPriority w:val="0"/>
    <w:rPr>
      <w:rFonts w:ascii="宋体" w:hAnsi="宋体" w:eastAsia="宋体" w:cs="Times New Roman"/>
      <w:color w:val="993300"/>
      <w:szCs w:val="20"/>
    </w:rPr>
  </w:style>
  <w:style w:type="paragraph" w:customStyle="1" w:styleId="274">
    <w:name w:val="Gap end section"/>
    <w:basedOn w:val="1"/>
    <w:semiHidden/>
    <w:qFormat/>
    <w:uiPriority w:val="0"/>
    <w:pPr>
      <w:widowControl/>
      <w:tabs>
        <w:tab w:val="left" w:pos="1758"/>
      </w:tabs>
      <w:spacing w:after="20" w:line="240" w:lineRule="atLeast"/>
      <w:contextualSpacing/>
      <w:jc w:val="left"/>
    </w:pPr>
    <w:rPr>
      <w:rFonts w:ascii="Calibri" w:hAnsi="Calibri" w:cs="Times New Roman"/>
      <w:kern w:val="0"/>
      <w:sz w:val="20"/>
      <w:lang w:val="en-GB" w:eastAsia="en-GB"/>
    </w:rPr>
  </w:style>
  <w:style w:type="character" w:customStyle="1" w:styleId="275">
    <w:name w:val="正文文本 2 Char"/>
    <w:basedOn w:val="211"/>
    <w:link w:val="76"/>
    <w:qFormat/>
    <w:uiPriority w:val="99"/>
    <w:rPr>
      <w:rFonts w:cs="Times New Roman"/>
      <w:kern w:val="0"/>
      <w:sz w:val="20"/>
      <w:szCs w:val="20"/>
      <w:lang w:val="en-GB" w:eastAsia="en-GB"/>
    </w:rPr>
  </w:style>
  <w:style w:type="character" w:customStyle="1" w:styleId="276">
    <w:name w:val="正文文本 3 Char"/>
    <w:basedOn w:val="211"/>
    <w:link w:val="31"/>
    <w:semiHidden/>
    <w:qFormat/>
    <w:uiPriority w:val="0"/>
    <w:rPr>
      <w:rFonts w:cs="Times New Roman"/>
      <w:kern w:val="0"/>
      <w:sz w:val="16"/>
      <w:szCs w:val="16"/>
      <w:lang w:val="en-GB" w:eastAsia="en-GB"/>
    </w:rPr>
  </w:style>
  <w:style w:type="character" w:customStyle="1" w:styleId="277">
    <w:name w:val="正文首行缩进 Char"/>
    <w:basedOn w:val="231"/>
    <w:link w:val="86"/>
    <w:semiHidden/>
    <w:qFormat/>
    <w:uiPriority w:val="0"/>
    <w:rPr>
      <w:rFonts w:ascii="Garamond" w:hAnsi="Garamond" w:eastAsia="PMingLiU" w:cs="Times New Roman"/>
      <w:kern w:val="0"/>
      <w:sz w:val="20"/>
      <w:szCs w:val="20"/>
      <w:lang w:val="en-GB" w:eastAsia="en-GB"/>
    </w:rPr>
  </w:style>
  <w:style w:type="character" w:customStyle="1" w:styleId="278">
    <w:name w:val="正文首行缩进 2 Char"/>
    <w:basedOn w:val="261"/>
    <w:link w:val="87"/>
    <w:semiHidden/>
    <w:qFormat/>
    <w:uiPriority w:val="0"/>
    <w:rPr>
      <w:rFonts w:cs="Times New Roman"/>
      <w:kern w:val="0"/>
      <w:sz w:val="20"/>
      <w:szCs w:val="20"/>
      <w:lang w:val="en-GB" w:eastAsia="en-GB"/>
    </w:rPr>
  </w:style>
  <w:style w:type="character" w:customStyle="1" w:styleId="279">
    <w:name w:val="正文文本缩进 2 Char"/>
    <w:basedOn w:val="211"/>
    <w:link w:val="51"/>
    <w:qFormat/>
    <w:uiPriority w:val="0"/>
    <w:rPr>
      <w:rFonts w:cs="Times New Roman"/>
      <w:kern w:val="0"/>
      <w:sz w:val="20"/>
      <w:szCs w:val="20"/>
      <w:lang w:val="en-GB" w:eastAsia="en-GB"/>
    </w:rPr>
  </w:style>
  <w:style w:type="character" w:customStyle="1" w:styleId="280">
    <w:name w:val="正文文本缩进 3 Char"/>
    <w:basedOn w:val="211"/>
    <w:link w:val="70"/>
    <w:qFormat/>
    <w:uiPriority w:val="0"/>
    <w:rPr>
      <w:rFonts w:cs="Times New Roman"/>
      <w:kern w:val="0"/>
      <w:sz w:val="16"/>
      <w:szCs w:val="16"/>
      <w:lang w:val="en-GB" w:eastAsia="en-GB"/>
    </w:rPr>
  </w:style>
  <w:style w:type="character" w:customStyle="1" w:styleId="281">
    <w:name w:val="结束语 Char"/>
    <w:basedOn w:val="211"/>
    <w:link w:val="32"/>
    <w:semiHidden/>
    <w:qFormat/>
    <w:uiPriority w:val="0"/>
    <w:rPr>
      <w:rFonts w:cs="Times New Roman"/>
      <w:kern w:val="0"/>
      <w:sz w:val="20"/>
      <w:szCs w:val="20"/>
      <w:lang w:val="en-GB" w:eastAsia="en-GB"/>
    </w:rPr>
  </w:style>
  <w:style w:type="character" w:customStyle="1" w:styleId="282">
    <w:name w:val="批注文字 Char"/>
    <w:basedOn w:val="211"/>
    <w:link w:val="28"/>
    <w:qFormat/>
    <w:uiPriority w:val="0"/>
    <w:rPr>
      <w:rFonts w:cs="Times New Roman"/>
      <w:kern w:val="0"/>
      <w:sz w:val="20"/>
      <w:szCs w:val="20"/>
      <w:lang w:val="en-GB" w:eastAsia="en-GB"/>
    </w:rPr>
  </w:style>
  <w:style w:type="character" w:customStyle="1" w:styleId="283">
    <w:name w:val="批注主题 Char"/>
    <w:basedOn w:val="282"/>
    <w:link w:val="85"/>
    <w:qFormat/>
    <w:uiPriority w:val="0"/>
    <w:rPr>
      <w:rFonts w:cs="Times New Roman"/>
      <w:b/>
      <w:bCs/>
      <w:kern w:val="0"/>
      <w:sz w:val="20"/>
      <w:szCs w:val="20"/>
      <w:lang w:val="en-GB" w:eastAsia="en-GB"/>
    </w:rPr>
  </w:style>
  <w:style w:type="character" w:customStyle="1" w:styleId="284">
    <w:name w:val="电子邮件签名 Char"/>
    <w:basedOn w:val="211"/>
    <w:link w:val="19"/>
    <w:semiHidden/>
    <w:qFormat/>
    <w:uiPriority w:val="0"/>
    <w:rPr>
      <w:rFonts w:cs="Times New Roman"/>
      <w:kern w:val="0"/>
      <w:sz w:val="20"/>
      <w:szCs w:val="20"/>
      <w:lang w:val="en-GB" w:eastAsia="en-GB"/>
    </w:rPr>
  </w:style>
  <w:style w:type="character" w:customStyle="1" w:styleId="285">
    <w:name w:val="尾注文本 Char"/>
    <w:basedOn w:val="211"/>
    <w:link w:val="52"/>
    <w:qFormat/>
    <w:uiPriority w:val="0"/>
    <w:rPr>
      <w:rFonts w:cs="Times New Roman"/>
      <w:kern w:val="0"/>
      <w:sz w:val="20"/>
      <w:szCs w:val="20"/>
      <w:lang w:val="en-GB" w:eastAsia="en-GB"/>
    </w:rPr>
  </w:style>
  <w:style w:type="character" w:customStyle="1" w:styleId="286">
    <w:name w:val="脚注文本 Char"/>
    <w:basedOn w:val="211"/>
    <w:link w:val="67"/>
    <w:qFormat/>
    <w:uiPriority w:val="0"/>
    <w:rPr>
      <w:rFonts w:cs="Times New Roman"/>
      <w:kern w:val="0"/>
      <w:sz w:val="20"/>
      <w:szCs w:val="20"/>
      <w:lang w:val="en-GB" w:eastAsia="en-GB"/>
    </w:rPr>
  </w:style>
  <w:style w:type="character" w:customStyle="1" w:styleId="287">
    <w:name w:val="HTML 地址 Char"/>
    <w:basedOn w:val="211"/>
    <w:link w:val="41"/>
    <w:semiHidden/>
    <w:qFormat/>
    <w:uiPriority w:val="0"/>
    <w:rPr>
      <w:rFonts w:cs="Times New Roman"/>
      <w:i/>
      <w:iCs/>
      <w:kern w:val="0"/>
      <w:sz w:val="20"/>
      <w:szCs w:val="20"/>
      <w:lang w:val="en-GB" w:eastAsia="en-GB"/>
    </w:rPr>
  </w:style>
  <w:style w:type="character" w:customStyle="1" w:styleId="288">
    <w:name w:val="HTML 预设格式 Char"/>
    <w:basedOn w:val="211"/>
    <w:link w:val="80"/>
    <w:semiHidden/>
    <w:qFormat/>
    <w:uiPriority w:val="0"/>
    <w:rPr>
      <w:rFonts w:ascii="Courier New" w:hAnsi="Courier New" w:cs="Courier New"/>
      <w:kern w:val="0"/>
      <w:sz w:val="20"/>
      <w:szCs w:val="20"/>
      <w:lang w:val="en-GB" w:eastAsia="en-GB"/>
    </w:rPr>
  </w:style>
  <w:style w:type="character" w:customStyle="1" w:styleId="289">
    <w:name w:val="宏文本 Char"/>
    <w:basedOn w:val="211"/>
    <w:link w:val="2"/>
    <w:semiHidden/>
    <w:qFormat/>
    <w:uiPriority w:val="0"/>
    <w:rPr>
      <w:rFonts w:ascii="Courier New" w:hAnsi="Courier New" w:cs="Courier New"/>
      <w:kern w:val="0"/>
      <w:sz w:val="20"/>
      <w:szCs w:val="20"/>
      <w:lang w:val="en-GB" w:eastAsia="en-GB"/>
    </w:rPr>
  </w:style>
  <w:style w:type="character" w:customStyle="1" w:styleId="290">
    <w:name w:val="信息标题 Char"/>
    <w:basedOn w:val="211"/>
    <w:link w:val="79"/>
    <w:semiHidden/>
    <w:qFormat/>
    <w:uiPriority w:val="0"/>
    <w:rPr>
      <w:rFonts w:cs="Arial"/>
      <w:kern w:val="0"/>
      <w:sz w:val="20"/>
      <w:szCs w:val="20"/>
      <w:shd w:val="pct20" w:color="auto" w:fill="auto"/>
      <w:lang w:val="en-GB" w:eastAsia="en-GB"/>
    </w:rPr>
  </w:style>
  <w:style w:type="character" w:customStyle="1" w:styleId="291">
    <w:name w:val="注释标题 Char"/>
    <w:basedOn w:val="211"/>
    <w:link w:val="16"/>
    <w:semiHidden/>
    <w:qFormat/>
    <w:uiPriority w:val="0"/>
    <w:rPr>
      <w:rFonts w:cs="Times New Roman"/>
      <w:kern w:val="0"/>
      <w:sz w:val="20"/>
      <w:szCs w:val="20"/>
      <w:lang w:val="en-GB" w:eastAsia="en-GB"/>
    </w:rPr>
  </w:style>
  <w:style w:type="character" w:customStyle="1" w:styleId="292">
    <w:name w:val="称呼 Char"/>
    <w:basedOn w:val="211"/>
    <w:link w:val="30"/>
    <w:semiHidden/>
    <w:qFormat/>
    <w:uiPriority w:val="0"/>
    <w:rPr>
      <w:rFonts w:cs="Times New Roman"/>
      <w:kern w:val="0"/>
      <w:sz w:val="20"/>
      <w:szCs w:val="20"/>
      <w:lang w:val="en-GB" w:eastAsia="en-GB"/>
    </w:rPr>
  </w:style>
  <w:style w:type="character" w:customStyle="1" w:styleId="293">
    <w:name w:val="签名 Char"/>
    <w:basedOn w:val="211"/>
    <w:link w:val="58"/>
    <w:semiHidden/>
    <w:qFormat/>
    <w:uiPriority w:val="0"/>
    <w:rPr>
      <w:rFonts w:cs="Times New Roman"/>
      <w:kern w:val="0"/>
      <w:sz w:val="20"/>
      <w:szCs w:val="20"/>
      <w:lang w:val="en-GB" w:eastAsia="en-GB"/>
    </w:rPr>
  </w:style>
  <w:style w:type="character" w:customStyle="1" w:styleId="294">
    <w:name w:val="副标题 Char"/>
    <w:basedOn w:val="211"/>
    <w:link w:val="64"/>
    <w:qFormat/>
    <w:uiPriority w:val="0"/>
    <w:rPr>
      <w:rFonts w:cs="Arial"/>
      <w:kern w:val="0"/>
      <w:sz w:val="36"/>
      <w:szCs w:val="20"/>
      <w:lang w:val="en-GB" w:eastAsia="en-GB"/>
    </w:rPr>
  </w:style>
  <w:style w:type="character" w:customStyle="1" w:styleId="295">
    <w:name w:val="标题 Char"/>
    <w:basedOn w:val="211"/>
    <w:link w:val="84"/>
    <w:qFormat/>
    <w:uiPriority w:val="0"/>
    <w:rPr>
      <w:rFonts w:cs="Arial"/>
      <w:bCs/>
      <w:color w:val="FFFFFF" w:themeColor="background1"/>
      <w:kern w:val="28"/>
      <w:sz w:val="106"/>
      <w:szCs w:val="32"/>
      <w:lang w:val="en-GB" w:eastAsia="en-GB"/>
    </w:rPr>
  </w:style>
  <w:style w:type="paragraph" w:customStyle="1" w:styleId="296">
    <w:name w:val="Plain table head"/>
    <w:basedOn w:val="1"/>
    <w:semiHidden/>
    <w:qFormat/>
    <w:uiPriority w:val="0"/>
    <w:pPr>
      <w:widowControl/>
      <w:spacing w:line="240" w:lineRule="atLeast"/>
      <w:contextualSpacing/>
      <w:jc w:val="left"/>
    </w:pPr>
    <w:rPr>
      <w:rFonts w:cs="Times New Roman"/>
      <w:kern w:val="0"/>
      <w:sz w:val="18"/>
      <w:szCs w:val="20"/>
      <w:lang w:eastAsia="en-GB"/>
    </w:rPr>
  </w:style>
  <w:style w:type="paragraph" w:customStyle="1" w:styleId="297">
    <w:name w:val="GT Table Data"/>
    <w:semiHidden/>
    <w:qFormat/>
    <w:uiPriority w:val="0"/>
    <w:pPr>
      <w:spacing w:line="200" w:lineRule="atLeast"/>
    </w:pPr>
    <w:rPr>
      <w:rFonts w:ascii="Arial" w:hAnsi="Arial" w:cs="Times New Roman" w:eastAsiaTheme="minorEastAsia"/>
      <w:sz w:val="14"/>
      <w:lang w:val="en-GB" w:eastAsia="en-GB" w:bidi="ar-SA"/>
    </w:rPr>
  </w:style>
  <w:style w:type="paragraph" w:customStyle="1" w:styleId="298">
    <w:name w:val="GT Table Caption"/>
    <w:basedOn w:val="297"/>
    <w:semiHidden/>
    <w:qFormat/>
    <w:uiPriority w:val="0"/>
    <w:pPr>
      <w:spacing w:line="180" w:lineRule="atLeast"/>
    </w:pPr>
    <w:rPr>
      <w:rFonts w:cs="Arial"/>
      <w:b/>
      <w:color w:val="FFFFFF"/>
      <w:sz w:val="18"/>
    </w:rPr>
  </w:style>
  <w:style w:type="paragraph" w:customStyle="1" w:styleId="299">
    <w:name w:val="GT Table Header"/>
    <w:basedOn w:val="297"/>
    <w:semiHidden/>
    <w:qFormat/>
    <w:uiPriority w:val="0"/>
    <w:pPr>
      <w:spacing w:line="140" w:lineRule="atLeast"/>
    </w:pPr>
    <w:rPr>
      <w:rFonts w:cs="Arial"/>
      <w:b/>
    </w:rPr>
  </w:style>
  <w:style w:type="paragraph" w:customStyle="1" w:styleId="300">
    <w:name w:val="书目1"/>
    <w:basedOn w:val="1"/>
    <w:next w:val="1"/>
    <w:semiHidden/>
    <w:unhideWhenUsed/>
    <w:qFormat/>
    <w:uiPriority w:val="37"/>
    <w:pPr>
      <w:widowControl/>
      <w:spacing w:line="240" w:lineRule="atLeast"/>
      <w:contextualSpacing/>
      <w:jc w:val="left"/>
    </w:pPr>
    <w:rPr>
      <w:rFonts w:cs="Times New Roman"/>
      <w:kern w:val="0"/>
      <w:sz w:val="20"/>
      <w:szCs w:val="20"/>
      <w:lang w:val="en-GB" w:eastAsia="en-GB"/>
    </w:rPr>
  </w:style>
  <w:style w:type="character" w:customStyle="1" w:styleId="301">
    <w:name w:val="书籍标题1"/>
    <w:basedOn w:val="211"/>
    <w:qFormat/>
    <w:uiPriority w:val="33"/>
    <w:rPr>
      <w:b/>
      <w:bCs/>
      <w:smallCaps/>
      <w:spacing w:val="5"/>
    </w:rPr>
  </w:style>
  <w:style w:type="table" w:customStyle="1" w:styleId="302">
    <w:name w:val="Colorful Grid1"/>
    <w:basedOn w:val="88"/>
    <w:semiHidden/>
    <w:qFormat/>
    <w:uiPriority w:val="73"/>
    <w:rPr>
      <w:color w:val="000000" w:themeColor="text1"/>
      <w:lang w:val="en-GB" w:eastAsia="en-GB"/>
    </w:rPr>
    <w:tblPr>
      <w:tblBorders>
        <w:insideH w:val="single" w:color="FFFFFF" w:themeColor="background1" w:sz="4" w:space="0"/>
      </w:tblBorders>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03">
    <w:name w:val="Colorful List1"/>
    <w:basedOn w:val="88"/>
    <w:semiHidden/>
    <w:qFormat/>
    <w:uiPriority w:val="72"/>
    <w:rPr>
      <w:color w:val="000000" w:themeColor="text1"/>
      <w:lang w:val="en-GB" w:eastAsia="en-GB"/>
    </w:rPr>
    <w:tcPr>
      <w:shd w:val="clear" w:color="auto" w:fill="E5E5E5" w:themeFill="text1" w:themeFillTint="19"/>
    </w:tcPr>
    <w:tblStylePr w:type="firstRow">
      <w:rPr>
        <w:b/>
        <w:bCs/>
        <w:color w:val="FFFFFF" w:themeColor="background1"/>
      </w:r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customStyle="1" w:styleId="304">
    <w:name w:val="Colorful Shading1"/>
    <w:basedOn w:val="88"/>
    <w:semiHidden/>
    <w:qFormat/>
    <w:uiPriority w:val="71"/>
    <w:rPr>
      <w:color w:val="000000" w:themeColor="text1"/>
      <w:lang w:val="en-GB" w:eastAsia="en-GB"/>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cPr>
        <w:tcBorders>
          <w:top w:val="single" w:color="FFFFFF" w:themeColor="background1" w:sz="6" w:space="0"/>
        </w:tcBorders>
        <w:shd w:val="clear" w:color="auto" w:fill="000000" w:themeFill="text1" w:themeFillShade="99"/>
      </w:tcPr>
    </w:tblStylePr>
    <w:tblStylePr w:type="firstCol">
      <w:rPr>
        <w:color w:val="FFFFFF" w:themeColor="background1"/>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rPr>
    </w:tblStylePr>
    <w:tblStylePr w:type="nwCell">
      <w:rPr>
        <w:color w:val="000000" w:themeColor="text1"/>
      </w:rPr>
    </w:tblStylePr>
  </w:style>
  <w:style w:type="table" w:customStyle="1" w:styleId="305">
    <w:name w:val="Dark List1"/>
    <w:basedOn w:val="88"/>
    <w:semiHidden/>
    <w:qFormat/>
    <w:uiPriority w:val="70"/>
    <w:rPr>
      <w:color w:val="FFFFFF" w:themeColor="background1"/>
      <w:lang w:val="en-GB" w:eastAsia="en-GB"/>
    </w:r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character" w:customStyle="1" w:styleId="306">
    <w:name w:val="明显强调1"/>
    <w:qFormat/>
    <w:uiPriority w:val="21"/>
    <w:rPr>
      <w:b/>
      <w:bCs/>
      <w:i/>
      <w:iCs/>
      <w:color w:val="4F81BD" w:themeColor="accent1"/>
    </w:rPr>
  </w:style>
  <w:style w:type="paragraph" w:styleId="307">
    <w:name w:val="Intense Quote"/>
    <w:basedOn w:val="1"/>
    <w:next w:val="1"/>
    <w:link w:val="308"/>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308">
    <w:name w:val="明显引用 Char"/>
    <w:basedOn w:val="211"/>
    <w:link w:val="307"/>
    <w:qFormat/>
    <w:uiPriority w:val="30"/>
    <w:rPr>
      <w:b/>
      <w:bCs/>
      <w:i/>
      <w:iCs/>
      <w:color w:val="4F81BD" w:themeColor="accent1"/>
    </w:rPr>
  </w:style>
  <w:style w:type="character" w:customStyle="1" w:styleId="309">
    <w:name w:val="明显参考1"/>
    <w:qFormat/>
    <w:uiPriority w:val="32"/>
    <w:rPr>
      <w:b/>
      <w:bCs/>
      <w:smallCaps/>
      <w:color w:val="C0504D" w:themeColor="accent2"/>
      <w:spacing w:val="5"/>
      <w:u w:val="single"/>
    </w:rPr>
  </w:style>
  <w:style w:type="table" w:customStyle="1" w:styleId="310">
    <w:name w:val="Light Grid1"/>
    <w:basedOn w:val="88"/>
    <w:semiHidden/>
    <w:qFormat/>
    <w:uiPriority w:val="62"/>
    <w:rPr>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311">
    <w:name w:val="Light Grid - Accent 11"/>
    <w:basedOn w:val="88"/>
    <w:semiHidden/>
    <w:qFormat/>
    <w:uiPriority w:val="62"/>
    <w:rPr>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312">
    <w:name w:val="Light List1"/>
    <w:basedOn w:val="88"/>
    <w:semiHidden/>
    <w:qFormat/>
    <w:uiPriority w:val="61"/>
    <w:rPr>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313">
    <w:name w:val="Light List - Accent 11"/>
    <w:basedOn w:val="88"/>
    <w:semiHidden/>
    <w:qFormat/>
    <w:uiPriority w:val="61"/>
    <w:rPr>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314">
    <w:name w:val="Light Shading1"/>
    <w:basedOn w:val="88"/>
    <w:semiHidden/>
    <w:qFormat/>
    <w:uiPriority w:val="60"/>
    <w:rPr>
      <w:color w:val="000000" w:themeColor="text1" w:themeShade="BF"/>
      <w:lang w:val="en-GB" w:eastAsia="en-GB"/>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315">
    <w:name w:val="Light Shading - Accent 11"/>
    <w:basedOn w:val="88"/>
    <w:semiHidden/>
    <w:qFormat/>
    <w:uiPriority w:val="60"/>
    <w:rPr>
      <w:color w:val="366091" w:themeColor="accent1" w:themeShade="BF"/>
      <w:lang w:val="en-GB" w:eastAsia="en-GB"/>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customStyle="1" w:styleId="316">
    <w:name w:val="Medium Grid 11"/>
    <w:basedOn w:val="88"/>
    <w:semiHidden/>
    <w:qFormat/>
    <w:uiPriority w:val="67"/>
    <w:rPr>
      <w:lang w:val="en-GB" w:eastAsia="en-GB"/>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17">
    <w:name w:val="Medium Grid 21"/>
    <w:basedOn w:val="88"/>
    <w:semiHidden/>
    <w:qFormat/>
    <w:uiPriority w:val="68"/>
    <w:rPr>
      <w:rFonts w:asciiTheme="majorHAnsi" w:hAnsiTheme="majorHAnsi" w:eastAsiaTheme="majorEastAsia" w:cstheme="majorBidi"/>
      <w:color w:val="000000" w:themeColor="text1"/>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rPr>
      <w:tcPr>
        <w:shd w:val="clear" w:color="auto" w:fill="E5E5E5" w:themeFill="text1" w:themeFillTint="19"/>
      </w:tcPr>
    </w:tblStylePr>
    <w:tblStylePr w:type="lastRow">
      <w:rPr>
        <w:b/>
        <w:bCs/>
        <w:color w:val="000000" w:themeColor="text1"/>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customStyle="1" w:styleId="318">
    <w:name w:val="Medium Grid 31"/>
    <w:basedOn w:val="88"/>
    <w:semiHidden/>
    <w:qFormat/>
    <w:uiPriority w:val="69"/>
    <w:rPr>
      <w:lang w:val="en-GB" w:eastAsia="en-GB"/>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customStyle="1" w:styleId="319">
    <w:name w:val="Medium List 11"/>
    <w:basedOn w:val="88"/>
    <w:semiHidden/>
    <w:qFormat/>
    <w:uiPriority w:val="65"/>
    <w:rPr>
      <w:color w:val="000000" w:themeColor="text1"/>
      <w:lang w:val="en-GB" w:eastAsia="en-GB"/>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320">
    <w:name w:val="Medium List 1 - Accent 11"/>
    <w:basedOn w:val="88"/>
    <w:semiHidden/>
    <w:qFormat/>
    <w:uiPriority w:val="65"/>
    <w:rPr>
      <w:color w:val="000000" w:themeColor="text1"/>
      <w:lang w:val="en-GB" w:eastAsia="en-GB"/>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cPr>
        <w:tcBorders>
          <w:top w:val="nil"/>
          <w:bottom w:val="single" w:color="4F81BD" w:themeColor="accent1" w:sz="8" w:space="0"/>
        </w:tcBorders>
      </w:tcPr>
    </w:tblStylePr>
    <w:tblStylePr w:type="lastRow">
      <w:rPr>
        <w:b/>
        <w:bCs/>
        <w:color w:val="1F497D" w:themeColor="text2"/>
      </w:rPr>
      <w:tcPr>
        <w:tcBorders>
          <w:top w:val="single" w:color="4F81BD" w:themeColor="accent1" w:sz="8" w:space="0"/>
          <w:bottom w:val="single" w:color="4F81BD" w:themeColor="accent1" w:sz="8" w:space="0"/>
        </w:tcBorders>
      </w:tcPr>
    </w:tblStylePr>
    <w:tblStylePr w:type="firstCol">
      <w:rPr>
        <w:b/>
        <w:bCs/>
      </w:rPr>
    </w:tblStylePr>
    <w:tblStylePr w:type="lastCol">
      <w:rPr>
        <w:b/>
        <w:bCs/>
      </w:rPr>
      <w:tcPr>
        <w:tcBorders>
          <w:top w:val="single" w:color="4F81BD" w:themeColor="accent1" w:sz="8" w:space="0"/>
          <w:bottom w:val="single" w:color="4F81BD" w:themeColor="accent1" w:sz="8" w:space="0"/>
        </w:tcBorders>
      </w:tcPr>
    </w:tblStylePr>
    <w:tblStylePr w:type="band1Vert">
      <w:tcPr>
        <w:shd w:val="clear" w:color="auto" w:fill="D3DFEE" w:themeFill="accent1" w:themeFillTint="3F"/>
      </w:tcPr>
    </w:tblStylePr>
    <w:tblStylePr w:type="band1Horz">
      <w:tcPr>
        <w:shd w:val="clear" w:color="auto" w:fill="D3DFEE" w:themeFill="accent1" w:themeFillTint="3F"/>
      </w:tcPr>
    </w:tblStylePr>
  </w:style>
  <w:style w:type="table" w:customStyle="1" w:styleId="321">
    <w:name w:val="Medium List 21"/>
    <w:basedOn w:val="88"/>
    <w:semiHidden/>
    <w:qFormat/>
    <w:uiPriority w:val="66"/>
    <w:rPr>
      <w:rFonts w:asciiTheme="majorHAnsi" w:hAnsiTheme="majorHAnsi" w:eastAsiaTheme="majorEastAsia" w:cstheme="majorBidi"/>
      <w:color w:val="000000" w:themeColor="text1"/>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322">
    <w:name w:val="Medium Shading 11"/>
    <w:basedOn w:val="88"/>
    <w:semiHidden/>
    <w:qFormat/>
    <w:uiPriority w:val="63"/>
    <w:rPr>
      <w:lang w:val="en-GB" w:eastAsia="en-GB"/>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customStyle="1" w:styleId="323">
    <w:name w:val="Medium Shading 1 - Accent 11"/>
    <w:basedOn w:val="88"/>
    <w:semiHidden/>
    <w:qFormat/>
    <w:uiPriority w:val="63"/>
    <w:rPr>
      <w:lang w:val="en-GB" w:eastAsia="en-GB"/>
    </w:r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324">
    <w:name w:val="Medium Shading 2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325">
    <w:name w:val="Medium Shading 2 - Accent 1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styleId="326">
    <w:name w:val="No Spacing"/>
    <w:qFormat/>
    <w:uiPriority w:val="0"/>
    <w:rPr>
      <w:rFonts w:asciiTheme="minorHAnsi" w:hAnsiTheme="minorHAnsi" w:eastAsiaTheme="minorEastAsia" w:cstheme="minorBidi"/>
      <w:lang w:val="en-GB" w:eastAsia="en-GB" w:bidi="ar-SA"/>
    </w:rPr>
  </w:style>
  <w:style w:type="character" w:styleId="327">
    <w:name w:val="Placeholder Text"/>
    <w:basedOn w:val="211"/>
    <w:semiHidden/>
    <w:qFormat/>
    <w:uiPriority w:val="99"/>
    <w:rPr>
      <w:color w:val="808080"/>
    </w:rPr>
  </w:style>
  <w:style w:type="paragraph" w:styleId="328">
    <w:name w:val="Quote"/>
    <w:basedOn w:val="1"/>
    <w:next w:val="1"/>
    <w:link w:val="329"/>
    <w:qFormat/>
    <w:uiPriority w:val="29"/>
    <w:rPr>
      <w:i/>
      <w:iCs/>
      <w:color w:val="000000" w:themeColor="text1"/>
    </w:rPr>
  </w:style>
  <w:style w:type="character" w:customStyle="1" w:styleId="329">
    <w:name w:val="引用 Char"/>
    <w:basedOn w:val="211"/>
    <w:link w:val="328"/>
    <w:qFormat/>
    <w:uiPriority w:val="29"/>
    <w:rPr>
      <w:i/>
      <w:iCs/>
      <w:color w:val="000000" w:themeColor="text1"/>
    </w:rPr>
  </w:style>
  <w:style w:type="character" w:customStyle="1" w:styleId="330">
    <w:name w:val="不明显强调1"/>
    <w:qFormat/>
    <w:uiPriority w:val="19"/>
    <w:rPr>
      <w:i/>
      <w:iCs/>
      <w:color w:val="7E7E7E" w:themeColor="text1" w:themeTint="80"/>
    </w:rPr>
  </w:style>
  <w:style w:type="character" w:customStyle="1" w:styleId="331">
    <w:name w:val="不明显参考1"/>
    <w:basedOn w:val="211"/>
    <w:qFormat/>
    <w:uiPriority w:val="31"/>
    <w:rPr>
      <w:smallCaps/>
      <w:color w:val="C0504D" w:themeColor="accent2"/>
      <w:u w:val="single"/>
    </w:rPr>
  </w:style>
  <w:style w:type="table" w:customStyle="1" w:styleId="332">
    <w:name w:val="GT Table (default)"/>
    <w:basedOn w:val="88"/>
    <w:qFormat/>
    <w:uiPriority w:val="0"/>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paragraph" w:customStyle="1" w:styleId="333">
    <w:name w:val="Bubble text"/>
    <w:qFormat/>
    <w:uiPriority w:val="0"/>
    <w:pPr>
      <w:spacing w:after="209" w:line="240" w:lineRule="exact"/>
    </w:pPr>
    <w:rPr>
      <w:rFonts w:ascii="Arial" w:hAnsi="Arial" w:cs="Arial" w:eastAsiaTheme="minorEastAsia"/>
      <w:color w:val="FFFFFF"/>
      <w:sz w:val="22"/>
      <w:szCs w:val="22"/>
      <w:lang w:val="en-GB" w:eastAsia="en-GB" w:bidi="ar-SA"/>
    </w:rPr>
  </w:style>
  <w:style w:type="paragraph" w:customStyle="1" w:styleId="334">
    <w:name w:val="Footer Letter"/>
    <w:basedOn w:val="55"/>
    <w:semiHidden/>
    <w:qFormat/>
    <w:uiPriority w:val="0"/>
    <w:pPr>
      <w:widowControl/>
      <w:tabs>
        <w:tab w:val="clear" w:pos="4153"/>
        <w:tab w:val="clear" w:pos="8306"/>
      </w:tabs>
      <w:snapToGrid/>
      <w:spacing w:line="120" w:lineRule="atLeast"/>
    </w:pPr>
    <w:rPr>
      <w:rFonts w:ascii="Arial" w:hAnsi="Arial" w:cs="Times New Roman"/>
      <w:kern w:val="0"/>
      <w:sz w:val="10"/>
      <w:szCs w:val="20"/>
      <w:lang w:val="en-GB" w:eastAsia="en-GB"/>
    </w:rPr>
  </w:style>
  <w:style w:type="paragraph" w:customStyle="1" w:styleId="335">
    <w:name w:val="Caption chart"/>
    <w:next w:val="1"/>
    <w:qFormat/>
    <w:uiPriority w:val="9"/>
    <w:pPr>
      <w:spacing w:after="28" w:line="220" w:lineRule="atLeast"/>
    </w:pPr>
    <w:rPr>
      <w:rFonts w:cs="Times New Roman" w:asciiTheme="minorHAnsi" w:hAnsiTheme="minorHAnsi" w:eastAsiaTheme="minorEastAsia"/>
      <w:b/>
      <w:sz w:val="22"/>
      <w:lang w:val="en-GB" w:eastAsia="en-GB" w:bidi="ar-SA"/>
    </w:rPr>
  </w:style>
  <w:style w:type="table" w:customStyle="1" w:styleId="336">
    <w:name w:val="GT Table caption"/>
    <w:basedOn w:val="332"/>
    <w:qFormat/>
    <w:uiPriority w:val="10"/>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cPr>
        <w:shd w:val="clear" w:color="auto" w:fill="F58528" w:themeFill="accent6" w:themeFillShade="E6"/>
      </w:tcPr>
    </w:tblStylePr>
  </w:style>
  <w:style w:type="paragraph" w:customStyle="1" w:styleId="337">
    <w:name w:val="Appendix"/>
    <w:basedOn w:val="1"/>
    <w:qFormat/>
    <w:uiPriority w:val="0"/>
    <w:pPr>
      <w:widowControl/>
      <w:numPr>
        <w:ilvl w:val="0"/>
        <w:numId w:val="11"/>
      </w:numPr>
      <w:jc w:val="right"/>
    </w:pPr>
    <w:rPr>
      <w:rFonts w:ascii="Arial" w:hAnsi="Arial" w:cs="Times New Roman"/>
      <w:b/>
      <w:color w:val="808080"/>
      <w:kern w:val="0"/>
      <w:sz w:val="16"/>
      <w:szCs w:val="24"/>
      <w:lang w:val="en-GB" w:eastAsia="en-US"/>
    </w:rPr>
  </w:style>
  <w:style w:type="paragraph" w:customStyle="1" w:styleId="338">
    <w:name w:val="BulletOne"/>
    <w:basedOn w:val="1"/>
    <w:qFormat/>
    <w:uiPriority w:val="0"/>
    <w:pPr>
      <w:widowControl/>
      <w:numPr>
        <w:ilvl w:val="0"/>
        <w:numId w:val="12"/>
      </w:numPr>
      <w:jc w:val="left"/>
    </w:pPr>
    <w:rPr>
      <w:rFonts w:ascii="Garamond" w:hAnsi="Garamond" w:cs="Times New Roman"/>
      <w:kern w:val="0"/>
      <w:sz w:val="22"/>
      <w:szCs w:val="24"/>
      <w:lang w:val="en-GB" w:eastAsia="en-US"/>
    </w:rPr>
  </w:style>
  <w:style w:type="paragraph" w:customStyle="1" w:styleId="339">
    <w:name w:val="*Bullet Numbers"/>
    <w:qFormat/>
    <w:uiPriority w:val="0"/>
    <w:pPr>
      <w:numPr>
        <w:ilvl w:val="0"/>
        <w:numId w:val="13"/>
      </w:numPr>
      <w:spacing w:line="260" w:lineRule="exact"/>
    </w:pPr>
    <w:rPr>
      <w:rFonts w:ascii="Garamond" w:hAnsi="Garamond" w:cs="Stempel Garamond" w:eastAsiaTheme="minorEastAsia"/>
      <w:color w:val="211D1E"/>
      <w:sz w:val="19"/>
      <w:szCs w:val="19"/>
      <w:lang w:val="en-US" w:eastAsia="en-US" w:bidi="ar-SA"/>
    </w:rPr>
  </w:style>
  <w:style w:type="paragraph" w:customStyle="1" w:styleId="340">
    <w:name w:val="*Text Body Standard"/>
    <w:link w:val="341"/>
    <w:qFormat/>
    <w:uiPriority w:val="0"/>
    <w:pPr>
      <w:widowControl w:val="0"/>
      <w:autoSpaceDE w:val="0"/>
      <w:autoSpaceDN w:val="0"/>
      <w:adjustRightInd w:val="0"/>
      <w:spacing w:line="260" w:lineRule="exact"/>
    </w:pPr>
    <w:rPr>
      <w:rFonts w:ascii="Garamond" w:hAnsi="Garamond" w:cs="Stempel Garamond" w:eastAsiaTheme="minorEastAsia"/>
      <w:color w:val="211D1E"/>
      <w:sz w:val="19"/>
      <w:szCs w:val="19"/>
      <w:lang w:val="en-US" w:eastAsia="en-US" w:bidi="ar-SA"/>
    </w:rPr>
  </w:style>
  <w:style w:type="character" w:customStyle="1" w:styleId="341">
    <w:name w:val="*Text Body Standard Char"/>
    <w:basedOn w:val="211"/>
    <w:link w:val="340"/>
    <w:qFormat/>
    <w:locked/>
    <w:uiPriority w:val="0"/>
    <w:rPr>
      <w:rFonts w:ascii="Garamond" w:hAnsi="Garamond" w:cs="Stempel Garamond"/>
      <w:color w:val="211D1E"/>
      <w:kern w:val="0"/>
      <w:sz w:val="19"/>
      <w:szCs w:val="19"/>
      <w:lang w:eastAsia="en-US"/>
    </w:rPr>
  </w:style>
  <w:style w:type="paragraph" w:customStyle="1" w:styleId="342">
    <w:name w:val="Table Heading"/>
    <w:basedOn w:val="1"/>
    <w:qFormat/>
    <w:uiPriority w:val="0"/>
    <w:pPr>
      <w:widowControl/>
      <w:ind w:right="142"/>
      <w:jc w:val="left"/>
    </w:pPr>
    <w:rPr>
      <w:rFonts w:ascii="Garamond" w:hAnsi="Garamond" w:cs="Times New Roman"/>
      <w:b/>
      <w:bCs/>
      <w:kern w:val="28"/>
      <w:sz w:val="22"/>
      <w:szCs w:val="24"/>
      <w:lang w:val="en-GB" w:eastAsia="en-US"/>
    </w:rPr>
  </w:style>
  <w:style w:type="paragraph" w:customStyle="1" w:styleId="343">
    <w:name w:val="Table Text"/>
    <w:basedOn w:val="1"/>
    <w:qFormat/>
    <w:uiPriority w:val="0"/>
    <w:pPr>
      <w:widowControl/>
      <w:ind w:right="142"/>
      <w:jc w:val="left"/>
    </w:pPr>
    <w:rPr>
      <w:rFonts w:ascii="Garamond" w:hAnsi="Garamond" w:cs="Times New Roman"/>
      <w:kern w:val="0"/>
      <w:sz w:val="22"/>
      <w:lang w:val="en-GB" w:eastAsia="en-US"/>
    </w:rPr>
  </w:style>
  <w:style w:type="paragraph" w:customStyle="1" w:styleId="344">
    <w:name w:val="致同二级标题"/>
    <w:basedOn w:val="4"/>
    <w:link w:val="553"/>
    <w:qFormat/>
    <w:uiPriority w:val="0"/>
    <w:pPr>
      <w:keepLines w:val="0"/>
      <w:widowControl/>
      <w:adjustRightInd/>
      <w:snapToGrid w:val="0"/>
      <w:spacing w:beforeLines="100" w:afterLines="100" w:line="360" w:lineRule="exact"/>
      <w:textAlignment w:val="auto"/>
    </w:pPr>
    <w:rPr>
      <w:rFonts w:ascii="Arial Black" w:hAnsi="Arial Black" w:cs="Arial"/>
      <w:color w:val="4F2D7F"/>
      <w:kern w:val="32"/>
      <w:sz w:val="28"/>
      <w:szCs w:val="28"/>
      <w:lang w:val="en-GB"/>
    </w:rPr>
  </w:style>
  <w:style w:type="table" w:customStyle="1" w:styleId="345">
    <w:name w:val="浅色列表 - 强调文字颜色 11"/>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346">
    <w:name w:val="网格型1"/>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
    <w:name w:val="网格型2"/>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
    <w:name w:val="网格型3"/>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网格型4"/>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
    <w:name w:val="网格型5"/>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1">
    <w:name w:val="致同四级标题"/>
    <w:basedOn w:val="5"/>
    <w:next w:val="44"/>
    <w:link w:val="489"/>
    <w:qFormat/>
    <w:uiPriority w:val="0"/>
    <w:pPr>
      <w:keepLines w:val="0"/>
      <w:widowControl/>
      <w:spacing w:beforeLines="100" w:afterLines="100" w:line="360" w:lineRule="exact"/>
      <w:jc w:val="left"/>
      <w:outlineLvl w:val="3"/>
    </w:pPr>
    <w:rPr>
      <w:rFonts w:eastAsia="黑体" w:cs="Arial" w:asciiTheme="minorEastAsia" w:hAnsiTheme="minorEastAsia"/>
      <w:color w:val="0046AD"/>
      <w:kern w:val="0"/>
      <w:sz w:val="24"/>
      <w:szCs w:val="24"/>
      <w:lang w:val="en-GB"/>
    </w:rPr>
  </w:style>
  <w:style w:type="paragraph" w:customStyle="1" w:styleId="352">
    <w:name w:val="Default"/>
    <w:qFormat/>
    <w:uiPriority w:val="0"/>
    <w:pPr>
      <w:widowControl w:val="0"/>
      <w:autoSpaceDE w:val="0"/>
      <w:autoSpaceDN w:val="0"/>
      <w:adjustRightInd w:val="0"/>
    </w:pPr>
    <w:rPr>
      <w:rFonts w:ascii="新宋体" w:eastAsia="新宋体" w:cs="新宋体" w:hAnsiTheme="minorHAnsi"/>
      <w:color w:val="000000"/>
      <w:sz w:val="24"/>
      <w:szCs w:val="24"/>
      <w:lang w:val="en-US" w:eastAsia="zh-CN" w:bidi="ar-SA"/>
    </w:rPr>
  </w:style>
  <w:style w:type="table" w:customStyle="1" w:styleId="353">
    <w:name w:val="浅色列表 - 强调文字颜色 12"/>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customStyle="1" w:styleId="354">
    <w:name w:val="Standard Paragraph"/>
    <w:basedOn w:val="1"/>
    <w:link w:val="548"/>
    <w:qFormat/>
    <w:uiPriority w:val="0"/>
    <w:pPr>
      <w:widowControl/>
      <w:tabs>
        <w:tab w:val="left" w:pos="360"/>
      </w:tabs>
      <w:spacing w:before="240" w:after="120"/>
      <w:ind w:left="720" w:hanging="720"/>
      <w:jc w:val="left"/>
    </w:pPr>
    <w:rPr>
      <w:rFonts w:ascii="Arial" w:hAnsi="Arial" w:eastAsia="宋体" w:cs="Arial"/>
      <w:kern w:val="0"/>
      <w:sz w:val="24"/>
      <w:szCs w:val="24"/>
      <w:lang w:eastAsia="en-US"/>
    </w:rPr>
  </w:style>
  <w:style w:type="paragraph" w:customStyle="1" w:styleId="355">
    <w:name w:val="xl32"/>
    <w:basedOn w:val="1"/>
    <w:qFormat/>
    <w:uiPriority w:val="0"/>
    <w:pPr>
      <w:widowControl/>
      <w:spacing w:before="100" w:beforeAutospacing="1" w:after="100" w:afterAutospacing="1"/>
      <w:jc w:val="center"/>
    </w:pPr>
    <w:rPr>
      <w:rFonts w:ascii="Arial Unicode MS" w:hAnsi="Arial Unicode MS" w:eastAsia="宋体" w:cs="Times New Roman"/>
      <w:i/>
      <w:iCs/>
      <w:kern w:val="0"/>
      <w:sz w:val="24"/>
      <w:szCs w:val="24"/>
    </w:rPr>
  </w:style>
  <w:style w:type="paragraph" w:customStyle="1" w:styleId="356">
    <w:name w:val="致同三级标题"/>
    <w:basedOn w:val="3"/>
    <w:link w:val="554"/>
    <w:qFormat/>
    <w:uiPriority w:val="0"/>
    <w:pPr>
      <w:keepLines w:val="0"/>
      <w:widowControl/>
      <w:numPr>
        <w:numId w:val="0"/>
      </w:numPr>
      <w:adjustRightInd/>
      <w:spacing w:beforeLines="100" w:afterLines="100" w:line="240" w:lineRule="auto"/>
      <w:textAlignment w:val="auto"/>
      <w:outlineLvl w:val="2"/>
    </w:pPr>
    <w:rPr>
      <w:rFonts w:ascii="宋体" w:hAnsi="宋体" w:cs="Arial"/>
      <w:color w:val="882345"/>
      <w:kern w:val="32"/>
      <w:sz w:val="24"/>
      <w:szCs w:val="24"/>
      <w:lang w:val="en-GB"/>
    </w:rPr>
  </w:style>
  <w:style w:type="paragraph" w:customStyle="1" w:styleId="357">
    <w:name w:val="CM123"/>
    <w:basedOn w:val="1"/>
    <w:next w:val="1"/>
    <w:qFormat/>
    <w:uiPriority w:val="99"/>
    <w:pPr>
      <w:autoSpaceDE w:val="0"/>
      <w:autoSpaceDN w:val="0"/>
      <w:adjustRightInd w:val="0"/>
      <w:jc w:val="left"/>
    </w:pPr>
    <w:rPr>
      <w:rFonts w:ascii="PMingLiU" w:eastAsia="PMingLiU"/>
      <w:kern w:val="0"/>
      <w:sz w:val="24"/>
      <w:szCs w:val="24"/>
    </w:rPr>
  </w:style>
  <w:style w:type="table" w:customStyle="1" w:styleId="358">
    <w:name w:val="浅色列表 - 强调文字颜色 13"/>
    <w:basedOn w:val="88"/>
    <w:qFormat/>
    <w:uiPriority w:val="61"/>
    <w:pPr>
      <w:spacing w:afterLines="100"/>
      <w:jc w:val="both"/>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customStyle="1" w:styleId="359">
    <w:name w:val="Body copy"/>
    <w:basedOn w:val="1"/>
    <w:link w:val="360"/>
    <w:qFormat/>
    <w:uiPriority w:val="0"/>
    <w:pPr>
      <w:widowControl/>
      <w:spacing w:line="280" w:lineRule="exact"/>
      <w:jc w:val="left"/>
    </w:pPr>
    <w:rPr>
      <w:rFonts w:ascii="Arial" w:hAnsi="Arial" w:eastAsia="宋体" w:cs="Times New Roman"/>
      <w:color w:val="000000"/>
      <w:kern w:val="0"/>
      <w:sz w:val="20"/>
      <w:szCs w:val="20"/>
      <w:lang w:val="en-GB" w:eastAsia="en-US"/>
    </w:rPr>
  </w:style>
  <w:style w:type="character" w:customStyle="1" w:styleId="360">
    <w:name w:val="Body copy Char"/>
    <w:basedOn w:val="211"/>
    <w:link w:val="359"/>
    <w:qFormat/>
    <w:locked/>
    <w:uiPriority w:val="0"/>
    <w:rPr>
      <w:rFonts w:ascii="Arial" w:hAnsi="Arial" w:eastAsia="宋体" w:cs="Times New Roman"/>
      <w:color w:val="000000"/>
      <w:kern w:val="0"/>
      <w:sz w:val="20"/>
      <w:szCs w:val="20"/>
      <w:lang w:val="en-GB" w:eastAsia="en-US"/>
    </w:rPr>
  </w:style>
  <w:style w:type="paragraph" w:customStyle="1" w:styleId="361">
    <w:name w:val="致同正文"/>
    <w:basedOn w:val="1"/>
    <w:link w:val="362"/>
    <w:qFormat/>
    <w:uiPriority w:val="0"/>
    <w:pPr>
      <w:widowControl/>
      <w:spacing w:afterLines="100" w:line="360" w:lineRule="exact"/>
      <w:ind w:firstLine="200" w:firstLineChars="200"/>
      <w:jc w:val="left"/>
    </w:pPr>
    <w:rPr>
      <w:rFonts w:ascii="宋体" w:hAnsi="宋体" w:eastAsia="宋体" w:cs="Times New Roman"/>
      <w:bCs/>
      <w:sz w:val="24"/>
      <w:szCs w:val="24"/>
    </w:rPr>
  </w:style>
  <w:style w:type="character" w:customStyle="1" w:styleId="362">
    <w:name w:val="致同正文 Char"/>
    <w:basedOn w:val="211"/>
    <w:link w:val="361"/>
    <w:qFormat/>
    <w:uiPriority w:val="0"/>
    <w:rPr>
      <w:rFonts w:ascii="宋体" w:hAnsi="宋体" w:eastAsia="宋体" w:cs="Times New Roman"/>
      <w:bCs/>
      <w:sz w:val="24"/>
      <w:szCs w:val="24"/>
    </w:rPr>
  </w:style>
  <w:style w:type="character" w:customStyle="1" w:styleId="363">
    <w:name w:val="apple-style-span"/>
    <w:basedOn w:val="211"/>
    <w:qFormat/>
    <w:uiPriority w:val="0"/>
  </w:style>
  <w:style w:type="paragraph" w:customStyle="1" w:styleId="364">
    <w:name w:val="Bullets level 1"/>
    <w:basedOn w:val="24"/>
    <w:link w:val="365"/>
    <w:qFormat/>
    <w:uiPriority w:val="0"/>
    <w:pPr>
      <w:tabs>
        <w:tab w:val="left" w:pos="170"/>
      </w:tabs>
      <w:spacing w:after="0" w:line="200" w:lineRule="exact"/>
    </w:pPr>
    <w:rPr>
      <w:rFonts w:ascii="Arial" w:hAnsi="Arial" w:eastAsia="宋体"/>
      <w:color w:val="000000"/>
      <w:sz w:val="18"/>
      <w:lang w:eastAsia="en-US"/>
    </w:rPr>
  </w:style>
  <w:style w:type="character" w:customStyle="1" w:styleId="365">
    <w:name w:val="Bullets level 1 Char"/>
    <w:basedOn w:val="211"/>
    <w:link w:val="364"/>
    <w:qFormat/>
    <w:locked/>
    <w:uiPriority w:val="0"/>
    <w:rPr>
      <w:rFonts w:ascii="Arial" w:hAnsi="Arial" w:eastAsia="宋体" w:cs="Times New Roman"/>
      <w:color w:val="000000"/>
      <w:kern w:val="0"/>
      <w:sz w:val="18"/>
      <w:szCs w:val="20"/>
      <w:lang w:val="en-GB" w:eastAsia="en-US"/>
    </w:rPr>
  </w:style>
  <w:style w:type="character" w:customStyle="1" w:styleId="366">
    <w:name w:val="Caption body Char"/>
    <w:basedOn w:val="211"/>
    <w:link w:val="367"/>
    <w:qFormat/>
    <w:locked/>
    <w:uiPriority w:val="0"/>
    <w:rPr>
      <w:rFonts w:ascii="Arial" w:hAnsi="Arial"/>
      <w:color w:val="000000"/>
      <w:sz w:val="18"/>
      <w:lang w:eastAsia="en-US"/>
    </w:rPr>
  </w:style>
  <w:style w:type="paragraph" w:customStyle="1" w:styleId="367">
    <w:name w:val="Caption body"/>
    <w:link w:val="366"/>
    <w:qFormat/>
    <w:uiPriority w:val="0"/>
    <w:pPr>
      <w:spacing w:after="80" w:line="200" w:lineRule="exact"/>
    </w:pPr>
    <w:rPr>
      <w:rFonts w:ascii="Arial" w:hAnsi="Arial" w:eastAsiaTheme="minorEastAsia" w:cstheme="minorBidi"/>
      <w:color w:val="000000"/>
      <w:kern w:val="2"/>
      <w:sz w:val="18"/>
      <w:szCs w:val="22"/>
      <w:lang w:val="en-US" w:eastAsia="en-US" w:bidi="ar-SA"/>
    </w:rPr>
  </w:style>
  <w:style w:type="paragraph" w:customStyle="1" w:styleId="368">
    <w:name w:val="Table Green header"/>
    <w:basedOn w:val="369"/>
    <w:qFormat/>
    <w:uiPriority w:val="0"/>
    <w:pPr>
      <w:spacing w:before="200" w:after="80"/>
      <w:outlineLvl w:val="9"/>
    </w:pPr>
    <w:rPr>
      <w:sz w:val="20"/>
    </w:rPr>
  </w:style>
  <w:style w:type="paragraph" w:customStyle="1" w:styleId="369">
    <w:name w:val="B Subheading - Green"/>
    <w:basedOn w:val="370"/>
    <w:qFormat/>
    <w:uiPriority w:val="0"/>
    <w:rPr>
      <w:color w:val="92D400"/>
    </w:rPr>
  </w:style>
  <w:style w:type="paragraph" w:customStyle="1" w:styleId="370">
    <w:name w:val="B Subheading - Blue"/>
    <w:basedOn w:val="4"/>
    <w:link w:val="371"/>
    <w:qFormat/>
    <w:uiPriority w:val="0"/>
    <w:pPr>
      <w:keepNext w:val="0"/>
      <w:keepLines w:val="0"/>
      <w:widowControl/>
      <w:adjustRightInd/>
      <w:spacing w:before="320" w:after="120" w:line="240" w:lineRule="auto"/>
      <w:textAlignment w:val="auto"/>
    </w:pPr>
    <w:rPr>
      <w:bCs w:val="0"/>
      <w:color w:val="00A1DE"/>
      <w:sz w:val="24"/>
      <w:szCs w:val="24"/>
      <w:lang w:eastAsia="en-US"/>
    </w:rPr>
  </w:style>
  <w:style w:type="character" w:customStyle="1" w:styleId="371">
    <w:name w:val="B Subheading - Blue Char"/>
    <w:basedOn w:val="241"/>
    <w:link w:val="370"/>
    <w:qFormat/>
    <w:locked/>
    <w:uiPriority w:val="0"/>
    <w:rPr>
      <w:rFonts w:ascii="Arial" w:hAnsi="Arial" w:eastAsia="黑体" w:cs="Times New Roman"/>
      <w:color w:val="00A1DE"/>
      <w:kern w:val="0"/>
      <w:sz w:val="24"/>
      <w:szCs w:val="24"/>
      <w:lang w:eastAsia="en-US"/>
    </w:rPr>
  </w:style>
  <w:style w:type="character" w:customStyle="1" w:styleId="372">
    <w:name w:val="列表项目符号 Char"/>
    <w:basedOn w:val="211"/>
    <w:link w:val="24"/>
    <w:qFormat/>
    <w:locked/>
    <w:uiPriority w:val="0"/>
    <w:rPr>
      <w:rFonts w:cs="Times New Roman"/>
      <w:kern w:val="0"/>
      <w:sz w:val="20"/>
      <w:szCs w:val="20"/>
      <w:lang w:val="en-GB" w:eastAsia="en-GB"/>
    </w:rPr>
  </w:style>
  <w:style w:type="paragraph" w:customStyle="1" w:styleId="373">
    <w:name w:val="Table Entry"/>
    <w:basedOn w:val="1"/>
    <w:qFormat/>
    <w:uiPriority w:val="0"/>
    <w:pPr>
      <w:keepNext/>
      <w:widowControl/>
      <w:spacing w:before="60" w:after="60"/>
      <w:jc w:val="left"/>
      <w:outlineLvl w:val="2"/>
    </w:pPr>
    <w:rPr>
      <w:rFonts w:ascii="Arial" w:hAnsi="Arial" w:eastAsia="宋体" w:cs="Times New Roman"/>
      <w:color w:val="000000"/>
      <w:kern w:val="0"/>
      <w:sz w:val="16"/>
      <w:szCs w:val="24"/>
      <w:lang w:val="en-GB" w:eastAsia="en-US"/>
    </w:rPr>
  </w:style>
  <w:style w:type="paragraph" w:customStyle="1" w:styleId="374">
    <w:name w:val="Table bullet 1"/>
    <w:basedOn w:val="364"/>
    <w:qFormat/>
    <w:uiPriority w:val="0"/>
    <w:pPr>
      <w:spacing w:after="80"/>
    </w:pPr>
    <w:rPr>
      <w:sz w:val="16"/>
      <w:lang w:val="fr-FR"/>
    </w:rPr>
  </w:style>
  <w:style w:type="paragraph" w:customStyle="1" w:styleId="375">
    <w:name w:val="Table bullet 2"/>
    <w:basedOn w:val="376"/>
    <w:qFormat/>
    <w:uiPriority w:val="0"/>
    <w:pPr>
      <w:tabs>
        <w:tab w:val="left" w:pos="340"/>
        <w:tab w:val="left" w:pos="567"/>
      </w:tabs>
      <w:spacing w:after="80"/>
    </w:pPr>
    <w:rPr>
      <w:sz w:val="16"/>
    </w:rPr>
  </w:style>
  <w:style w:type="paragraph" w:customStyle="1" w:styleId="376">
    <w:name w:val="Bullet level 2"/>
    <w:basedOn w:val="364"/>
    <w:link w:val="377"/>
    <w:qFormat/>
    <w:uiPriority w:val="0"/>
    <w:pPr>
      <w:numPr>
        <w:ilvl w:val="0"/>
        <w:numId w:val="14"/>
      </w:numPr>
      <w:tabs>
        <w:tab w:val="left" w:pos="340"/>
        <w:tab w:val="clear" w:pos="170"/>
      </w:tabs>
      <w:spacing w:after="60"/>
      <w:ind w:left="340" w:hanging="170"/>
    </w:pPr>
  </w:style>
  <w:style w:type="character" w:customStyle="1" w:styleId="377">
    <w:name w:val="Bullet level 2 Char"/>
    <w:basedOn w:val="365"/>
    <w:link w:val="376"/>
    <w:qFormat/>
    <w:locked/>
    <w:uiPriority w:val="0"/>
    <w:rPr>
      <w:rFonts w:ascii="Arial" w:hAnsi="Arial" w:eastAsia="宋体" w:cs="Times New Roman"/>
      <w:color w:val="000000"/>
      <w:kern w:val="0"/>
      <w:sz w:val="18"/>
      <w:szCs w:val="20"/>
      <w:lang w:val="en-GB" w:eastAsia="en-US"/>
    </w:rPr>
  </w:style>
  <w:style w:type="paragraph" w:customStyle="1" w:styleId="378">
    <w:name w:val="Table Person Info"/>
    <w:basedOn w:val="1"/>
    <w:qFormat/>
    <w:uiPriority w:val="0"/>
    <w:pPr>
      <w:widowControl/>
      <w:tabs>
        <w:tab w:val="left" w:pos="170"/>
      </w:tabs>
      <w:spacing w:before="60" w:after="60"/>
      <w:ind w:left="851" w:hanging="851"/>
      <w:jc w:val="left"/>
    </w:pPr>
    <w:rPr>
      <w:rFonts w:ascii="Arial" w:hAnsi="Arial" w:eastAsia="宋体" w:cs="Times New Roman"/>
      <w:color w:val="000000"/>
      <w:kern w:val="0"/>
      <w:sz w:val="16"/>
      <w:szCs w:val="16"/>
      <w:lang w:val="fr-FR" w:eastAsia="en-US"/>
    </w:rPr>
  </w:style>
  <w:style w:type="paragraph" w:customStyle="1" w:styleId="379">
    <w:name w:val="Contents Page"/>
    <w:basedOn w:val="359"/>
    <w:qFormat/>
    <w:uiPriority w:val="0"/>
    <w:pPr>
      <w:tabs>
        <w:tab w:val="right" w:pos="6804"/>
      </w:tabs>
      <w:spacing w:after="240"/>
      <w:ind w:left="680" w:hanging="680"/>
    </w:pPr>
    <w:rPr>
      <w:sz w:val="24"/>
    </w:rPr>
  </w:style>
  <w:style w:type="paragraph" w:customStyle="1" w:styleId="380">
    <w:name w:val="C Subheading"/>
    <w:basedOn w:val="5"/>
    <w:link w:val="397"/>
    <w:qFormat/>
    <w:uiPriority w:val="0"/>
    <w:pPr>
      <w:keepLines w:val="0"/>
      <w:widowControl/>
      <w:spacing w:before="320" w:after="120" w:line="240" w:lineRule="auto"/>
      <w:jc w:val="left"/>
    </w:pPr>
    <w:rPr>
      <w:rFonts w:ascii="Arial" w:hAnsi="Arial" w:eastAsia="黑体"/>
      <w:bCs w:val="0"/>
      <w:color w:val="000000"/>
      <w:kern w:val="0"/>
      <w:sz w:val="24"/>
      <w:szCs w:val="24"/>
      <w:lang w:val="en-GB" w:eastAsia="en-US"/>
    </w:rPr>
  </w:style>
  <w:style w:type="paragraph" w:customStyle="1" w:styleId="381">
    <w:name w:val="A Page heading"/>
    <w:basedOn w:val="3"/>
    <w:link w:val="382"/>
    <w:qFormat/>
    <w:uiPriority w:val="0"/>
    <w:pPr>
      <w:keepLines w:val="0"/>
      <w:widowControl/>
      <w:numPr>
        <w:numId w:val="0"/>
      </w:numPr>
      <w:adjustRightInd/>
      <w:spacing w:before="0" w:after="1600" w:line="240" w:lineRule="auto"/>
      <w:textAlignment w:val="auto"/>
    </w:pPr>
    <w:rPr>
      <w:rFonts w:ascii="Times New Roman" w:hAnsi="Times New Roman"/>
      <w:b w:val="0"/>
      <w:bCs w:val="0"/>
      <w:color w:val="002776"/>
      <w:kern w:val="32"/>
      <w:sz w:val="60"/>
      <w:szCs w:val="60"/>
      <w:lang w:val="en-GB" w:eastAsia="en-US"/>
    </w:rPr>
  </w:style>
  <w:style w:type="character" w:customStyle="1" w:styleId="382">
    <w:name w:val="A Page heading Char"/>
    <w:basedOn w:val="211"/>
    <w:link w:val="381"/>
    <w:qFormat/>
    <w:locked/>
    <w:uiPriority w:val="0"/>
    <w:rPr>
      <w:rFonts w:ascii="Times New Roman" w:hAnsi="Times New Roman" w:eastAsia="宋体" w:cs="Times New Roman"/>
      <w:color w:val="002776"/>
      <w:kern w:val="32"/>
      <w:sz w:val="60"/>
      <w:szCs w:val="60"/>
      <w:lang w:val="en-GB" w:eastAsia="en-US"/>
    </w:rPr>
  </w:style>
  <w:style w:type="paragraph" w:customStyle="1" w:styleId="383">
    <w:name w:val="Caption Source"/>
    <w:basedOn w:val="1"/>
    <w:qFormat/>
    <w:uiPriority w:val="0"/>
    <w:pPr>
      <w:widowControl/>
      <w:spacing w:line="180" w:lineRule="exact"/>
      <w:jc w:val="left"/>
    </w:pPr>
    <w:rPr>
      <w:rFonts w:ascii="Arial" w:hAnsi="Arial" w:eastAsia="宋体" w:cs="Times New Roman"/>
      <w:color w:val="000000"/>
      <w:kern w:val="0"/>
      <w:sz w:val="14"/>
      <w:szCs w:val="20"/>
      <w:lang w:eastAsia="en-US"/>
    </w:rPr>
  </w:style>
  <w:style w:type="paragraph" w:customStyle="1" w:styleId="384">
    <w:name w:val="D Subheading"/>
    <w:basedOn w:val="380"/>
    <w:qFormat/>
    <w:uiPriority w:val="0"/>
    <w:rPr>
      <w:i/>
    </w:rPr>
  </w:style>
  <w:style w:type="paragraph" w:customStyle="1" w:styleId="385">
    <w:name w:val="E Subheading"/>
    <w:basedOn w:val="384"/>
    <w:qFormat/>
    <w:uiPriority w:val="0"/>
    <w:rPr>
      <w:b w:val="0"/>
    </w:rPr>
  </w:style>
  <w:style w:type="paragraph" w:customStyle="1" w:styleId="386">
    <w:name w:val="Pullout Quote"/>
    <w:qFormat/>
    <w:uiPriority w:val="0"/>
    <w:pPr>
      <w:suppressAutoHyphens/>
      <w:spacing w:line="400" w:lineRule="exact"/>
    </w:pPr>
    <w:rPr>
      <w:rFonts w:ascii="Times New Roman" w:hAnsi="Times New Roman" w:eastAsia="宋体" w:cs="Times New Roman"/>
      <w:color w:val="00A1DE"/>
      <w:sz w:val="36"/>
      <w:lang w:val="en-GB" w:eastAsia="en-US" w:bidi="ar-SA"/>
    </w:rPr>
  </w:style>
  <w:style w:type="paragraph" w:customStyle="1" w:styleId="387">
    <w:name w:val="Caption heading"/>
    <w:basedOn w:val="367"/>
    <w:qFormat/>
    <w:uiPriority w:val="0"/>
    <w:rPr>
      <w:rFonts w:eastAsia="黑体"/>
      <w:b/>
    </w:rPr>
  </w:style>
  <w:style w:type="paragraph" w:customStyle="1" w:styleId="388">
    <w:name w:val="Table Column header"/>
    <w:basedOn w:val="368"/>
    <w:qFormat/>
    <w:uiPriority w:val="0"/>
    <w:pPr>
      <w:spacing w:before="80"/>
    </w:pPr>
    <w:rPr>
      <w:color w:val="FFFFFF"/>
      <w:sz w:val="18"/>
    </w:rPr>
  </w:style>
  <w:style w:type="paragraph" w:customStyle="1" w:styleId="389">
    <w:name w:val="B Subheading - Blue dk"/>
    <w:basedOn w:val="370"/>
    <w:qFormat/>
    <w:uiPriority w:val="0"/>
    <w:rPr>
      <w:color w:val="002776"/>
    </w:rPr>
  </w:style>
  <w:style w:type="paragraph" w:customStyle="1" w:styleId="390">
    <w:name w:val="B Subheading - Green dk"/>
    <w:basedOn w:val="370"/>
    <w:qFormat/>
    <w:uiPriority w:val="0"/>
    <w:rPr>
      <w:color w:val="3C8A2E"/>
    </w:rPr>
  </w:style>
  <w:style w:type="paragraph" w:customStyle="1" w:styleId="391">
    <w:name w:val="Legal copy"/>
    <w:basedOn w:val="359"/>
    <w:qFormat/>
    <w:uiPriority w:val="0"/>
    <w:pPr>
      <w:spacing w:after="240"/>
    </w:pPr>
    <w:rPr>
      <w:sz w:val="16"/>
    </w:rPr>
  </w:style>
  <w:style w:type="paragraph" w:customStyle="1" w:styleId="392">
    <w:name w:val="Cover Title"/>
    <w:link w:val="394"/>
    <w:qFormat/>
    <w:uiPriority w:val="0"/>
    <w:rPr>
      <w:rFonts w:ascii="Times New Roman" w:hAnsi="Times New Roman" w:eastAsia="宋体" w:cs="Times New Roman"/>
      <w:color w:val="002776"/>
      <w:kern w:val="28"/>
      <w:sz w:val="70"/>
      <w:szCs w:val="70"/>
      <w:lang w:val="en-GB" w:eastAsia="en-US" w:bidi="ar-SA"/>
    </w:rPr>
  </w:style>
  <w:style w:type="paragraph" w:customStyle="1" w:styleId="393">
    <w:name w:val="Cover Sub-heading"/>
    <w:link w:val="395"/>
    <w:qFormat/>
    <w:uiPriority w:val="0"/>
    <w:rPr>
      <w:rFonts w:ascii="Times New Roman" w:hAnsi="Times New Roman" w:eastAsia="宋体" w:cs="Times New Roman"/>
      <w:color w:val="92D400"/>
      <w:kern w:val="28"/>
      <w:sz w:val="70"/>
      <w:szCs w:val="70"/>
      <w:lang w:val="en-GB" w:eastAsia="en-US" w:bidi="ar-SA"/>
    </w:rPr>
  </w:style>
  <w:style w:type="character" w:customStyle="1" w:styleId="394">
    <w:name w:val="Cover Title Char"/>
    <w:basedOn w:val="211"/>
    <w:link w:val="392"/>
    <w:qFormat/>
    <w:locked/>
    <w:uiPriority w:val="0"/>
    <w:rPr>
      <w:rFonts w:ascii="Times New Roman" w:hAnsi="Times New Roman" w:eastAsia="宋体" w:cs="Times New Roman"/>
      <w:color w:val="002776"/>
      <w:kern w:val="28"/>
      <w:sz w:val="70"/>
      <w:szCs w:val="70"/>
      <w:lang w:val="en-GB" w:eastAsia="en-US"/>
    </w:rPr>
  </w:style>
  <w:style w:type="character" w:customStyle="1" w:styleId="395">
    <w:name w:val="Cover Sub-heading Char"/>
    <w:basedOn w:val="211"/>
    <w:link w:val="393"/>
    <w:qFormat/>
    <w:locked/>
    <w:uiPriority w:val="0"/>
    <w:rPr>
      <w:rFonts w:ascii="Times New Roman" w:hAnsi="Times New Roman" w:eastAsia="宋体" w:cs="Times New Roman"/>
      <w:color w:val="92D400"/>
      <w:kern w:val="28"/>
      <w:sz w:val="70"/>
      <w:szCs w:val="70"/>
      <w:lang w:val="en-GB" w:eastAsia="en-US"/>
    </w:rPr>
  </w:style>
  <w:style w:type="paragraph" w:customStyle="1" w:styleId="396">
    <w:name w:val="Style1"/>
    <w:basedOn w:val="381"/>
    <w:qFormat/>
    <w:uiPriority w:val="0"/>
    <w:pPr>
      <w:snapToGrid w:val="0"/>
      <w:spacing w:after="0"/>
    </w:pPr>
    <w:rPr>
      <w:lang w:eastAsia="zh-CN"/>
    </w:rPr>
  </w:style>
  <w:style w:type="character" w:customStyle="1" w:styleId="397">
    <w:name w:val="C Subheading Char"/>
    <w:basedOn w:val="247"/>
    <w:link w:val="380"/>
    <w:qFormat/>
    <w:uiPriority w:val="0"/>
    <w:rPr>
      <w:rFonts w:ascii="Arial" w:hAnsi="Arial" w:eastAsia="黑体" w:cs="Times New Roman"/>
      <w:color w:val="000000"/>
      <w:kern w:val="0"/>
      <w:sz w:val="24"/>
      <w:szCs w:val="24"/>
      <w:lang w:val="en-GB" w:eastAsia="en-US"/>
    </w:rPr>
  </w:style>
  <w:style w:type="paragraph" w:customStyle="1" w:styleId="398">
    <w:name w:val="Name"/>
    <w:basedOn w:val="381"/>
    <w:link w:val="399"/>
    <w:qFormat/>
    <w:uiPriority w:val="0"/>
    <w:pPr>
      <w:spacing w:after="200"/>
    </w:pPr>
    <w:rPr>
      <w:sz w:val="30"/>
      <w:lang w:eastAsia="zh-CN"/>
    </w:rPr>
  </w:style>
  <w:style w:type="character" w:customStyle="1" w:styleId="399">
    <w:name w:val="Name Char"/>
    <w:basedOn w:val="382"/>
    <w:link w:val="398"/>
    <w:qFormat/>
    <w:uiPriority w:val="0"/>
    <w:rPr>
      <w:rFonts w:ascii="Times New Roman" w:hAnsi="Times New Roman" w:eastAsia="宋体" w:cs="Times New Roman"/>
      <w:color w:val="002776"/>
      <w:kern w:val="32"/>
      <w:sz w:val="30"/>
      <w:szCs w:val="60"/>
      <w:lang w:val="en-GB" w:eastAsia="en-US"/>
    </w:rPr>
  </w:style>
  <w:style w:type="paragraph" w:customStyle="1" w:styleId="400">
    <w:name w:val="修订1"/>
    <w:hidden/>
    <w:semiHidden/>
    <w:qFormat/>
    <w:uiPriority w:val="99"/>
    <w:rPr>
      <w:rFonts w:ascii="Calibri" w:hAnsi="Calibri" w:eastAsia="宋体" w:cs="Times New Roman"/>
      <w:sz w:val="22"/>
      <w:szCs w:val="22"/>
      <w:lang w:val="en-US" w:eastAsia="zh-CN" w:bidi="ar-SA"/>
    </w:rPr>
  </w:style>
  <w:style w:type="paragraph" w:customStyle="1" w:styleId="401">
    <w:name w:val="CV Title"/>
    <w:next w:val="1"/>
    <w:qFormat/>
    <w:uiPriority w:val="0"/>
    <w:rPr>
      <w:rFonts w:ascii="Garamond" w:hAnsi="Garamond" w:eastAsia="宋体" w:cs="Arial"/>
      <w:bCs/>
      <w:kern w:val="28"/>
      <w:sz w:val="66"/>
      <w:szCs w:val="32"/>
      <w:lang w:val="de-AT" w:eastAsia="en-US" w:bidi="ar-SA"/>
    </w:rPr>
  </w:style>
  <w:style w:type="paragraph" w:customStyle="1" w:styleId="402">
    <w:name w:val="Paragraph Bullet"/>
    <w:basedOn w:val="1"/>
    <w:qFormat/>
    <w:uiPriority w:val="0"/>
    <w:pPr>
      <w:widowControl/>
      <w:numPr>
        <w:ilvl w:val="0"/>
        <w:numId w:val="15"/>
      </w:numPr>
      <w:spacing w:after="284" w:line="280" w:lineRule="atLeast"/>
      <w:jc w:val="left"/>
    </w:pPr>
    <w:rPr>
      <w:rFonts w:ascii="Garamond" w:hAnsi="Garamond" w:eastAsia="宋体" w:cs="Arial"/>
      <w:kern w:val="0"/>
      <w:sz w:val="22"/>
      <w:szCs w:val="20"/>
      <w:lang w:val="de-AT" w:eastAsia="en-US"/>
    </w:rPr>
  </w:style>
  <w:style w:type="paragraph" w:customStyle="1" w:styleId="403">
    <w:name w:val="Paragraph Bullet 2"/>
    <w:basedOn w:val="1"/>
    <w:qFormat/>
    <w:uiPriority w:val="0"/>
    <w:pPr>
      <w:widowControl/>
      <w:numPr>
        <w:ilvl w:val="1"/>
        <w:numId w:val="15"/>
      </w:numPr>
      <w:spacing w:after="284" w:line="280" w:lineRule="atLeast"/>
      <w:jc w:val="left"/>
    </w:pPr>
    <w:rPr>
      <w:rFonts w:ascii="Garamond" w:hAnsi="Garamond" w:eastAsia="宋体" w:cs="Arial"/>
      <w:kern w:val="0"/>
      <w:sz w:val="22"/>
      <w:szCs w:val="20"/>
      <w:lang w:val="de-AT" w:eastAsia="en-US"/>
    </w:rPr>
  </w:style>
  <w:style w:type="paragraph" w:customStyle="1" w:styleId="404">
    <w:name w:val="致同一级标记"/>
    <w:basedOn w:val="24"/>
    <w:link w:val="557"/>
    <w:qFormat/>
    <w:uiPriority w:val="0"/>
    <w:pPr>
      <w:numPr>
        <w:numId w:val="0"/>
      </w:numPr>
      <w:tabs>
        <w:tab w:val="left" w:pos="227"/>
        <w:tab w:val="left" w:pos="340"/>
      </w:tabs>
      <w:spacing w:afterLines="50" w:line="360" w:lineRule="exact"/>
      <w:ind w:left="97" w:leftChars="97" w:hanging="454"/>
    </w:pPr>
    <w:rPr>
      <w:rFonts w:ascii="Garamond" w:hAnsi="Garamond" w:cs="Arial"/>
      <w:sz w:val="24"/>
      <w:szCs w:val="24"/>
      <w:lang w:eastAsia="zh-CN"/>
    </w:rPr>
  </w:style>
  <w:style w:type="paragraph" w:customStyle="1" w:styleId="405">
    <w:name w:val="致同新4级标题"/>
    <w:basedOn w:val="6"/>
    <w:link w:val="406"/>
    <w:qFormat/>
    <w:uiPriority w:val="0"/>
    <w:pPr>
      <w:adjustRightInd/>
      <w:spacing w:before="100" w:beforeAutospacing="1" w:afterLines="100" w:line="360" w:lineRule="exact"/>
      <w:ind w:firstLine="200" w:firstLineChars="200"/>
      <w:jc w:val="both"/>
      <w:textAlignment w:val="auto"/>
    </w:pPr>
    <w:rPr>
      <w:rFonts w:asciiTheme="minorEastAsia" w:hAnsiTheme="minorEastAsia"/>
      <w:color w:val="006D55"/>
    </w:rPr>
  </w:style>
  <w:style w:type="character" w:customStyle="1" w:styleId="406">
    <w:name w:val="致同新4级标题 Char"/>
    <w:basedOn w:val="242"/>
    <w:link w:val="405"/>
    <w:qFormat/>
    <w:uiPriority w:val="0"/>
    <w:rPr>
      <w:rFonts w:eastAsia="黑体" w:asciiTheme="minorEastAsia" w:hAnsiTheme="minorEastAsia" w:cstheme="majorBidi"/>
      <w:color w:val="006D55"/>
      <w:kern w:val="0"/>
      <w:sz w:val="28"/>
      <w:szCs w:val="28"/>
    </w:rPr>
  </w:style>
  <w:style w:type="paragraph" w:customStyle="1" w:styleId="407">
    <w:name w:val="致同新5级"/>
    <w:basedOn w:val="1"/>
    <w:link w:val="408"/>
    <w:qFormat/>
    <w:uiPriority w:val="0"/>
    <w:pPr>
      <w:spacing w:afterLines="100" w:line="360" w:lineRule="exact"/>
      <w:ind w:firstLine="442" w:firstLineChars="200"/>
      <w:outlineLvl w:val="4"/>
    </w:pPr>
    <w:rPr>
      <w:rFonts w:asciiTheme="minorEastAsia" w:hAnsiTheme="minorEastAsia"/>
      <w:b/>
      <w:sz w:val="22"/>
    </w:rPr>
  </w:style>
  <w:style w:type="character" w:customStyle="1" w:styleId="408">
    <w:name w:val="致同新5级 Char"/>
    <w:basedOn w:val="211"/>
    <w:link w:val="407"/>
    <w:qFormat/>
    <w:uiPriority w:val="0"/>
    <w:rPr>
      <w:rFonts w:asciiTheme="minorEastAsia" w:hAnsiTheme="minorEastAsia"/>
      <w:b/>
      <w:sz w:val="22"/>
    </w:rPr>
  </w:style>
  <w:style w:type="character" w:customStyle="1" w:styleId="409">
    <w:name w:val="Table"/>
    <w:qFormat/>
    <w:uiPriority w:val="0"/>
    <w:rPr>
      <w:rFonts w:ascii="Arial" w:hAnsi="Arial"/>
      <w:sz w:val="20"/>
    </w:rPr>
  </w:style>
  <w:style w:type="paragraph" w:customStyle="1" w:styleId="410">
    <w:name w:val="titulo"/>
    <w:basedOn w:val="7"/>
    <w:uiPriority w:val="0"/>
    <w:pPr>
      <w:numPr>
        <w:ilvl w:val="0"/>
        <w:numId w:val="0"/>
      </w:numPr>
      <w:spacing w:before="0" w:after="240" w:line="240" w:lineRule="auto"/>
      <w:contextualSpacing w:val="0"/>
      <w:jc w:val="center"/>
    </w:pPr>
    <w:rPr>
      <w:rFonts w:ascii="Times New Roman Bold" w:hAnsi="Times New Roman Bold" w:eastAsia="宋体"/>
      <w:bCs w:val="0"/>
      <w:i w:val="0"/>
      <w:iCs w:val="0"/>
      <w:sz w:val="24"/>
      <w:szCs w:val="20"/>
      <w:lang w:val="en-US" w:eastAsia="en-US"/>
    </w:rPr>
  </w:style>
  <w:style w:type="paragraph" w:customStyle="1" w:styleId="411">
    <w:name w:val="BankNormal"/>
    <w:basedOn w:val="1"/>
    <w:qFormat/>
    <w:uiPriority w:val="0"/>
    <w:pPr>
      <w:widowControl/>
      <w:spacing w:after="240"/>
      <w:jc w:val="left"/>
    </w:pPr>
    <w:rPr>
      <w:rFonts w:ascii="Arial" w:hAnsi="Arial" w:eastAsia="宋体" w:cs="Times New Roman"/>
      <w:kern w:val="0"/>
      <w:sz w:val="20"/>
      <w:szCs w:val="20"/>
      <w:lang w:eastAsia="en-US"/>
    </w:rPr>
  </w:style>
  <w:style w:type="paragraph" w:customStyle="1" w:styleId="412">
    <w:name w:val="Plain Text1"/>
    <w:basedOn w:val="1"/>
    <w:qFormat/>
    <w:uiPriority w:val="0"/>
    <w:pPr>
      <w:adjustRightInd w:val="0"/>
      <w:textAlignment w:val="baseline"/>
    </w:pPr>
    <w:rPr>
      <w:rFonts w:ascii="宋体" w:hAnsi="Courier New" w:eastAsia="宋体" w:cs="Times New Roman"/>
      <w:szCs w:val="20"/>
    </w:rPr>
  </w:style>
  <w:style w:type="paragraph" w:customStyle="1" w:styleId="413">
    <w:name w:val="Section V. Header"/>
    <w:basedOn w:val="1"/>
    <w:qFormat/>
    <w:uiPriority w:val="0"/>
    <w:pPr>
      <w:widowControl/>
      <w:jc w:val="center"/>
    </w:pPr>
    <w:rPr>
      <w:rFonts w:ascii="Arial" w:hAnsi="Arial" w:eastAsia="宋体" w:cs="Times New Roman"/>
      <w:b/>
      <w:kern w:val="0"/>
      <w:sz w:val="36"/>
      <w:szCs w:val="20"/>
      <w:lang w:eastAsia="en-US"/>
    </w:rPr>
  </w:style>
  <w:style w:type="paragraph" w:customStyle="1" w:styleId="414">
    <w:name w:val="Subtitle 2"/>
    <w:basedOn w:val="55"/>
    <w:qFormat/>
    <w:uiPriority w:val="0"/>
    <w:pPr>
      <w:widowControl/>
      <w:tabs>
        <w:tab w:val="clear" w:pos="4153"/>
        <w:tab w:val="clear" w:pos="8306"/>
      </w:tabs>
      <w:snapToGrid/>
      <w:ind w:left="281" w:right="288" w:hanging="281"/>
      <w:jc w:val="center"/>
      <w:outlineLvl w:val="1"/>
    </w:pPr>
    <w:rPr>
      <w:rFonts w:ascii="仿宋_GB2312" w:hAnsi="Arial" w:eastAsia="仿宋_GB2312" w:cs="Arial"/>
      <w:b/>
      <w:kern w:val="0"/>
      <w:sz w:val="32"/>
      <w:szCs w:val="20"/>
    </w:rPr>
  </w:style>
  <w:style w:type="paragraph" w:customStyle="1" w:styleId="415">
    <w:name w:val="Style 6"/>
    <w:basedOn w:val="1"/>
    <w:qFormat/>
    <w:uiPriority w:val="0"/>
    <w:pPr>
      <w:autoSpaceDE w:val="0"/>
      <w:autoSpaceDN w:val="0"/>
      <w:spacing w:after="216" w:line="576" w:lineRule="exact"/>
      <w:jc w:val="center"/>
    </w:pPr>
    <w:rPr>
      <w:rFonts w:ascii="Times New Roman" w:hAnsi="Times New Roman" w:eastAsia="宋体" w:cs="Times New Roman"/>
      <w:kern w:val="0"/>
      <w:sz w:val="24"/>
      <w:szCs w:val="24"/>
      <w:lang w:eastAsia="en-US"/>
    </w:rPr>
  </w:style>
  <w:style w:type="table" w:customStyle="1" w:styleId="416">
    <w:name w:val="网格型11"/>
    <w:basedOn w:val="88"/>
    <w:qFormat/>
    <w:uiPriority w:val="59"/>
    <w:pPr>
      <w:spacing w:line="240" w:lineRule="atLeas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6"/>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网格型31"/>
    <w:basedOn w:val="88"/>
    <w:qFormat/>
    <w:uiPriority w:val="59"/>
    <w:pPr>
      <w:spacing w:afterLines="1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9">
    <w:name w:val="网格型7"/>
    <w:basedOn w:val="88"/>
    <w:qFormat/>
    <w:uiPriority w:val="59"/>
    <w:pPr>
      <w:spacing w:line="240" w:lineRule="atLeas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0">
    <w:name w:val="网格型6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1">
    <w:name w:val="网格型8"/>
    <w:basedOn w:val="88"/>
    <w:qFormat/>
    <w:uiPriority w:val="59"/>
    <w:pPr>
      <w:spacing w:line="240" w:lineRule="atLeas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
    <w:name w:val="网格型62"/>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3">
    <w:name w:val="网格型9"/>
    <w:basedOn w:val="88"/>
    <w:qFormat/>
    <w:uiPriority w:val="59"/>
    <w:pPr>
      <w:spacing w:line="240" w:lineRule="atLeas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63"/>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网格型10"/>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6">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27">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28">
    <w:name w:val="font7"/>
    <w:basedOn w:val="1"/>
    <w:uiPriority w:val="0"/>
    <w:pPr>
      <w:widowControl/>
      <w:spacing w:before="100" w:beforeAutospacing="1" w:after="100" w:afterAutospacing="1"/>
      <w:jc w:val="left"/>
    </w:pPr>
    <w:rPr>
      <w:rFonts w:ascii="Arial Narrow" w:hAnsi="Arial Narrow" w:eastAsia="宋体" w:cs="宋体"/>
      <w:kern w:val="0"/>
      <w:sz w:val="20"/>
      <w:szCs w:val="20"/>
    </w:rPr>
  </w:style>
  <w:style w:type="paragraph" w:customStyle="1" w:styleId="429">
    <w:name w:val="font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30">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eastAsia="宋体" w:cs="宋体"/>
      <w:kern w:val="0"/>
      <w:sz w:val="18"/>
      <w:szCs w:val="18"/>
    </w:rPr>
  </w:style>
  <w:style w:type="paragraph" w:customStyle="1" w:styleId="4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18"/>
      <w:szCs w:val="18"/>
    </w:rPr>
  </w:style>
  <w:style w:type="paragraph" w:customStyle="1" w:styleId="432">
    <w:name w:val="xl67"/>
    <w:basedOn w:val="1"/>
    <w:qFormat/>
    <w:uiPriority w:val="0"/>
    <w:pPr>
      <w:widowControl/>
      <w:spacing w:before="100" w:beforeAutospacing="1" w:after="100" w:afterAutospacing="1"/>
      <w:jc w:val="left"/>
      <w:textAlignment w:val="top"/>
    </w:pPr>
    <w:rPr>
      <w:rFonts w:ascii="宋体" w:hAnsi="宋体" w:eastAsia="宋体" w:cs="宋体"/>
      <w:kern w:val="0"/>
      <w:sz w:val="18"/>
      <w:szCs w:val="18"/>
    </w:rPr>
  </w:style>
  <w:style w:type="paragraph" w:customStyle="1" w:styleId="433">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3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35">
    <w:name w:val="xl70"/>
    <w:basedOn w:val="1"/>
    <w:qFormat/>
    <w:uiPriority w:val="0"/>
    <w:pPr>
      <w:widowControl/>
      <w:spacing w:before="100" w:beforeAutospacing="1" w:after="100" w:afterAutospacing="1"/>
      <w:jc w:val="left"/>
      <w:textAlignment w:val="top"/>
    </w:pPr>
    <w:rPr>
      <w:rFonts w:ascii="宋体" w:hAnsi="宋体" w:eastAsia="宋体" w:cs="宋体"/>
      <w:b/>
      <w:bCs/>
      <w:kern w:val="0"/>
      <w:sz w:val="18"/>
      <w:szCs w:val="18"/>
    </w:rPr>
  </w:style>
  <w:style w:type="paragraph" w:customStyle="1" w:styleId="436">
    <w:name w:val="xl71"/>
    <w:basedOn w:val="1"/>
    <w:qFormat/>
    <w:uiPriority w:val="0"/>
    <w:pPr>
      <w:widowControl/>
      <w:pBdr>
        <w:top w:val="single" w:color="4BACC6" w:sz="8" w:space="0"/>
        <w:left w:val="single" w:color="4BACC6" w:sz="8" w:space="0"/>
        <w:bottom w:val="single" w:color="4BACC6" w:sz="8" w:space="0"/>
        <w:right w:val="single" w:color="4BACC6" w:sz="8" w:space="0"/>
      </w:pBdr>
      <w:shd w:val="clear" w:color="000000" w:fill="C5D9F1"/>
      <w:spacing w:before="100" w:beforeAutospacing="1" w:after="100" w:afterAutospacing="1"/>
      <w:jc w:val="center"/>
      <w:textAlignment w:val="top"/>
    </w:pPr>
    <w:rPr>
      <w:rFonts w:ascii="宋体" w:hAnsi="宋体" w:eastAsia="宋体" w:cs="宋体"/>
      <w:b/>
      <w:bCs/>
      <w:kern w:val="0"/>
      <w:sz w:val="18"/>
      <w:szCs w:val="18"/>
    </w:rPr>
  </w:style>
  <w:style w:type="paragraph" w:customStyle="1" w:styleId="437">
    <w:name w:val="xl72"/>
    <w:basedOn w:val="1"/>
    <w:qFormat/>
    <w:uiPriority w:val="0"/>
    <w:pPr>
      <w:widowControl/>
      <w:shd w:val="clear" w:color="000000" w:fill="C5D9F1"/>
      <w:spacing w:before="100" w:beforeAutospacing="1" w:after="100" w:afterAutospacing="1"/>
      <w:jc w:val="center"/>
      <w:textAlignment w:val="top"/>
    </w:pPr>
    <w:rPr>
      <w:rFonts w:ascii="宋体" w:hAnsi="宋体" w:eastAsia="宋体" w:cs="宋体"/>
      <w:b/>
      <w:bCs/>
      <w:kern w:val="0"/>
      <w:sz w:val="18"/>
      <w:szCs w:val="18"/>
    </w:rPr>
  </w:style>
  <w:style w:type="paragraph" w:customStyle="1" w:styleId="43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18"/>
      <w:szCs w:val="18"/>
    </w:rPr>
  </w:style>
  <w:style w:type="paragraph" w:customStyle="1" w:styleId="43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b/>
      <w:bCs/>
      <w:kern w:val="0"/>
      <w:sz w:val="18"/>
      <w:szCs w:val="18"/>
    </w:rPr>
  </w:style>
  <w:style w:type="paragraph" w:customStyle="1" w:styleId="440">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eastAsia="宋体" w:cs="宋体"/>
      <w:b/>
      <w:bCs/>
      <w:kern w:val="0"/>
      <w:sz w:val="18"/>
      <w:szCs w:val="18"/>
    </w:rPr>
  </w:style>
  <w:style w:type="paragraph" w:customStyle="1" w:styleId="44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Narrow" w:hAnsi="Arial Narrow" w:eastAsia="宋体" w:cs="宋体"/>
      <w:kern w:val="0"/>
      <w:sz w:val="20"/>
      <w:szCs w:val="20"/>
    </w:rPr>
  </w:style>
  <w:style w:type="paragraph" w:customStyle="1" w:styleId="44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Narrow" w:hAnsi="Arial Narrow" w:eastAsia="宋体" w:cs="宋体"/>
      <w:kern w:val="0"/>
      <w:sz w:val="20"/>
      <w:szCs w:val="20"/>
    </w:rPr>
  </w:style>
  <w:style w:type="paragraph" w:customStyle="1" w:styleId="44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Narrow" w:hAnsi="Arial Narrow" w:eastAsia="宋体" w:cs="宋体"/>
      <w:kern w:val="0"/>
      <w:sz w:val="20"/>
      <w:szCs w:val="20"/>
    </w:rPr>
  </w:style>
  <w:style w:type="paragraph" w:customStyle="1" w:styleId="44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445">
    <w:name w:val="xl80"/>
    <w:basedOn w:val="1"/>
    <w:qFormat/>
    <w:uiPriority w:val="0"/>
    <w:pPr>
      <w:widowControl/>
      <w:spacing w:before="100" w:beforeAutospacing="1" w:after="100" w:afterAutospacing="1"/>
      <w:jc w:val="center"/>
      <w:textAlignment w:val="top"/>
    </w:pPr>
    <w:rPr>
      <w:rFonts w:ascii="宋体" w:hAnsi="宋体" w:eastAsia="宋体" w:cs="宋体"/>
      <w:b/>
      <w:bCs/>
      <w:kern w:val="0"/>
      <w:sz w:val="18"/>
      <w:szCs w:val="18"/>
    </w:rPr>
  </w:style>
  <w:style w:type="paragraph" w:customStyle="1" w:styleId="446">
    <w:name w:val="xl81"/>
    <w:basedOn w:val="1"/>
    <w:qFormat/>
    <w:uiPriority w:val="0"/>
    <w:pPr>
      <w:widowControl/>
      <w:spacing w:before="100" w:beforeAutospacing="1" w:after="100" w:afterAutospacing="1"/>
      <w:jc w:val="center"/>
      <w:textAlignment w:val="top"/>
    </w:pPr>
    <w:rPr>
      <w:rFonts w:ascii="宋体" w:hAnsi="宋体" w:eastAsia="宋体" w:cs="宋体"/>
      <w:kern w:val="0"/>
      <w:sz w:val="18"/>
      <w:szCs w:val="18"/>
    </w:rPr>
  </w:style>
  <w:style w:type="paragraph" w:customStyle="1" w:styleId="44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4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49">
    <w:name w:val="xl84"/>
    <w:basedOn w:val="1"/>
    <w:qFormat/>
    <w:uiPriority w:val="0"/>
    <w:pPr>
      <w:widowControl/>
      <w:pBdr>
        <w:top w:val="single" w:color="4BACC6" w:sz="8" w:space="0"/>
        <w:left w:val="single" w:color="4BACC6" w:sz="8" w:space="0"/>
        <w:right w:val="single" w:color="4BACC6" w:sz="8"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50">
    <w:name w:val="xl85"/>
    <w:basedOn w:val="1"/>
    <w:qFormat/>
    <w:uiPriority w:val="0"/>
    <w:pPr>
      <w:widowControl/>
      <w:pBdr>
        <w:left w:val="single" w:color="4BACC6" w:sz="8" w:space="0"/>
        <w:bottom w:val="single" w:color="4BACC6" w:sz="8" w:space="0"/>
        <w:right w:val="single" w:color="4BACC6" w:sz="8"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51">
    <w:name w:val="xl86"/>
    <w:basedOn w:val="1"/>
    <w:qFormat/>
    <w:uiPriority w:val="0"/>
    <w:pPr>
      <w:widowControl/>
      <w:pBdr>
        <w:left w:val="single" w:color="4BACC6" w:sz="8"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52">
    <w:name w:val="xl87"/>
    <w:basedOn w:val="1"/>
    <w:qFormat/>
    <w:uiPriority w:val="0"/>
    <w:pPr>
      <w:widowControl/>
      <w:pBdr>
        <w:left w:val="single" w:color="4BACC6" w:sz="8"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53">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54">
    <w:name w:val="xl89"/>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55">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56">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57">
    <w:name w:val="xl92"/>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58">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5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60">
    <w:name w:val="xl95"/>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6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6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63">
    <w:name w:val="xl98"/>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6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65">
    <w:name w:val="xl100"/>
    <w:basedOn w:val="1"/>
    <w:qFormat/>
    <w:uiPriority w:val="0"/>
    <w:pPr>
      <w:widowControl/>
      <w:pBdr>
        <w:top w:val="single" w:color="4BACC6" w:sz="8" w:space="0"/>
        <w:left w:val="single" w:color="4BACC6" w:sz="8" w:space="0"/>
        <w:right w:val="single" w:color="4BACC6" w:sz="8" w:space="0"/>
      </w:pBdr>
      <w:spacing w:before="100" w:beforeAutospacing="1" w:after="100" w:afterAutospacing="1"/>
      <w:jc w:val="center"/>
      <w:textAlignment w:val="top"/>
    </w:pPr>
    <w:rPr>
      <w:rFonts w:ascii="宋体" w:hAnsi="宋体" w:eastAsia="宋体" w:cs="宋体"/>
      <w:b/>
      <w:bCs/>
      <w:kern w:val="0"/>
      <w:sz w:val="18"/>
      <w:szCs w:val="18"/>
    </w:rPr>
  </w:style>
  <w:style w:type="paragraph" w:customStyle="1" w:styleId="466">
    <w:name w:val="xl101"/>
    <w:basedOn w:val="1"/>
    <w:qFormat/>
    <w:uiPriority w:val="0"/>
    <w:pPr>
      <w:widowControl/>
      <w:pBdr>
        <w:top w:val="single" w:color="auto" w:sz="4" w:space="0"/>
        <w:left w:val="single" w:color="auto" w:sz="4" w:space="0"/>
        <w:right w:val="single" w:color="4BACC6" w:sz="8" w:space="0"/>
      </w:pBdr>
      <w:spacing w:before="100" w:beforeAutospacing="1" w:after="100" w:afterAutospacing="1"/>
      <w:jc w:val="left"/>
      <w:textAlignment w:val="top"/>
    </w:pPr>
    <w:rPr>
      <w:rFonts w:ascii="宋体" w:hAnsi="宋体" w:eastAsia="宋体" w:cs="宋体"/>
      <w:b/>
      <w:bCs/>
      <w:kern w:val="0"/>
      <w:sz w:val="18"/>
      <w:szCs w:val="18"/>
    </w:rPr>
  </w:style>
  <w:style w:type="paragraph" w:customStyle="1" w:styleId="467">
    <w:name w:val="xl102"/>
    <w:basedOn w:val="1"/>
    <w:qFormat/>
    <w:uiPriority w:val="0"/>
    <w:pPr>
      <w:widowControl/>
      <w:pBdr>
        <w:left w:val="single" w:color="auto" w:sz="4" w:space="0"/>
        <w:bottom w:val="single" w:color="auto" w:sz="4" w:space="0"/>
        <w:right w:val="single" w:color="4BACC6" w:sz="8" w:space="0"/>
      </w:pBdr>
      <w:spacing w:before="100" w:beforeAutospacing="1" w:after="100" w:afterAutospacing="1"/>
      <w:jc w:val="left"/>
      <w:textAlignment w:val="top"/>
    </w:pPr>
    <w:rPr>
      <w:rFonts w:ascii="宋体" w:hAnsi="宋体" w:eastAsia="宋体" w:cs="宋体"/>
      <w:b/>
      <w:bCs/>
      <w:kern w:val="0"/>
      <w:sz w:val="18"/>
      <w:szCs w:val="18"/>
    </w:rPr>
  </w:style>
  <w:style w:type="paragraph" w:customStyle="1" w:styleId="468">
    <w:name w:val="xl103"/>
    <w:basedOn w:val="1"/>
    <w:qFormat/>
    <w:uiPriority w:val="0"/>
    <w:pPr>
      <w:widowControl/>
      <w:pBdr>
        <w:left w:val="single" w:color="auto" w:sz="4" w:space="0"/>
        <w:right w:val="single" w:color="auto" w:sz="4" w:space="0"/>
      </w:pBdr>
      <w:spacing w:before="100" w:beforeAutospacing="1" w:after="100" w:afterAutospacing="1"/>
      <w:jc w:val="left"/>
      <w:textAlignment w:val="top"/>
    </w:pPr>
    <w:rPr>
      <w:rFonts w:ascii="宋体" w:hAnsi="宋体" w:eastAsia="宋体" w:cs="宋体"/>
      <w:kern w:val="0"/>
      <w:sz w:val="18"/>
      <w:szCs w:val="18"/>
    </w:rPr>
  </w:style>
  <w:style w:type="paragraph" w:customStyle="1" w:styleId="469">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18"/>
      <w:szCs w:val="18"/>
    </w:rPr>
  </w:style>
  <w:style w:type="paragraph" w:customStyle="1" w:styleId="470">
    <w:name w:val="font9"/>
    <w:basedOn w:val="1"/>
    <w:qFormat/>
    <w:uiPriority w:val="0"/>
    <w:pPr>
      <w:widowControl/>
      <w:spacing w:before="100" w:beforeAutospacing="1" w:after="100" w:afterAutospacing="1"/>
      <w:jc w:val="left"/>
    </w:pPr>
    <w:rPr>
      <w:rFonts w:ascii="Arial Narrow" w:hAnsi="Arial Narrow" w:eastAsia="宋体" w:cs="宋体"/>
      <w:color w:val="000000"/>
      <w:kern w:val="0"/>
      <w:sz w:val="18"/>
      <w:szCs w:val="18"/>
    </w:rPr>
  </w:style>
  <w:style w:type="character" w:customStyle="1" w:styleId="471">
    <w:name w:val="普通(网站) Char"/>
    <w:link w:val="81"/>
    <w:qFormat/>
    <w:locked/>
    <w:uiPriority w:val="99"/>
    <w:rPr>
      <w:rFonts w:cs="Times New Roman"/>
      <w:kern w:val="0"/>
      <w:sz w:val="20"/>
      <w:szCs w:val="20"/>
      <w:lang w:val="en-GB" w:eastAsia="en-GB"/>
    </w:rPr>
  </w:style>
  <w:style w:type="character" w:customStyle="1" w:styleId="472">
    <w:name w:val="Font Style80"/>
    <w:basedOn w:val="211"/>
    <w:qFormat/>
    <w:uiPriority w:val="99"/>
    <w:rPr>
      <w:rFonts w:ascii="Times New Roman" w:hAnsi="Times New Roman" w:cs="Times New Roman"/>
      <w:color w:val="000000"/>
      <w:sz w:val="28"/>
      <w:szCs w:val="28"/>
    </w:rPr>
  </w:style>
  <w:style w:type="character" w:customStyle="1" w:styleId="473">
    <w:name w:val="Font Style114"/>
    <w:basedOn w:val="211"/>
    <w:qFormat/>
    <w:uiPriority w:val="99"/>
    <w:rPr>
      <w:rFonts w:ascii="Times New Roman" w:hAnsi="Times New Roman" w:cs="Times New Roman"/>
      <w:color w:val="000000"/>
      <w:spacing w:val="-20"/>
      <w:sz w:val="22"/>
      <w:szCs w:val="22"/>
    </w:rPr>
  </w:style>
  <w:style w:type="character" w:customStyle="1" w:styleId="474">
    <w:name w:val="Font Style102"/>
    <w:basedOn w:val="211"/>
    <w:qFormat/>
    <w:uiPriority w:val="99"/>
    <w:rPr>
      <w:rFonts w:ascii="Times New Roman" w:hAnsi="Times New Roman" w:cs="Times New Roman"/>
      <w:color w:val="000000"/>
      <w:sz w:val="22"/>
      <w:szCs w:val="22"/>
    </w:rPr>
  </w:style>
  <w:style w:type="paragraph" w:customStyle="1" w:styleId="475">
    <w:name w:val="Style11"/>
    <w:basedOn w:val="1"/>
    <w:qFormat/>
    <w:uiPriority w:val="99"/>
    <w:pPr>
      <w:adjustRightInd w:val="0"/>
    </w:pPr>
    <w:rPr>
      <w:rFonts w:ascii="Times New Roman" w:hAnsi="Times New Roman" w:cs="Times New Roman"/>
      <w:kern w:val="0"/>
      <w:sz w:val="24"/>
      <w:szCs w:val="24"/>
    </w:rPr>
  </w:style>
  <w:style w:type="paragraph" w:customStyle="1" w:styleId="476">
    <w:name w:val="Style12"/>
    <w:basedOn w:val="1"/>
    <w:qFormat/>
    <w:uiPriority w:val="99"/>
    <w:pPr>
      <w:adjustRightInd w:val="0"/>
      <w:spacing w:line="307" w:lineRule="exact"/>
    </w:pPr>
    <w:rPr>
      <w:rFonts w:ascii="Times New Roman" w:hAnsi="Times New Roman" w:cs="Times New Roman"/>
      <w:kern w:val="0"/>
      <w:sz w:val="24"/>
      <w:szCs w:val="24"/>
    </w:rPr>
  </w:style>
  <w:style w:type="paragraph" w:customStyle="1" w:styleId="477">
    <w:name w:val="Style36"/>
    <w:basedOn w:val="1"/>
    <w:qFormat/>
    <w:uiPriority w:val="99"/>
    <w:pPr>
      <w:adjustRightInd w:val="0"/>
      <w:spacing w:line="470" w:lineRule="exact"/>
      <w:ind w:firstLine="485"/>
    </w:pPr>
    <w:rPr>
      <w:rFonts w:ascii="Times New Roman" w:hAnsi="Times New Roman" w:cs="Times New Roman"/>
      <w:kern w:val="0"/>
      <w:sz w:val="24"/>
      <w:szCs w:val="24"/>
    </w:rPr>
  </w:style>
  <w:style w:type="paragraph" w:customStyle="1" w:styleId="478">
    <w:name w:val="Style48"/>
    <w:basedOn w:val="1"/>
    <w:qFormat/>
    <w:uiPriority w:val="99"/>
    <w:pPr>
      <w:adjustRightInd w:val="0"/>
      <w:spacing w:line="468" w:lineRule="exact"/>
      <w:ind w:firstLine="470"/>
      <w:jc w:val="left"/>
    </w:pPr>
    <w:rPr>
      <w:rFonts w:ascii="Times New Roman" w:hAnsi="Times New Roman" w:cs="Times New Roman"/>
      <w:kern w:val="0"/>
      <w:sz w:val="24"/>
      <w:szCs w:val="24"/>
    </w:rPr>
  </w:style>
  <w:style w:type="paragraph" w:customStyle="1" w:styleId="479">
    <w:name w:val="Style5"/>
    <w:basedOn w:val="1"/>
    <w:qFormat/>
    <w:uiPriority w:val="99"/>
    <w:pPr>
      <w:adjustRightInd w:val="0"/>
      <w:jc w:val="left"/>
    </w:pPr>
    <w:rPr>
      <w:rFonts w:ascii="Times New Roman" w:hAnsi="Times New Roman" w:cs="Times New Roman"/>
      <w:kern w:val="0"/>
      <w:sz w:val="24"/>
      <w:szCs w:val="24"/>
    </w:rPr>
  </w:style>
  <w:style w:type="paragraph" w:customStyle="1" w:styleId="480">
    <w:name w:val="Style29"/>
    <w:basedOn w:val="1"/>
    <w:qFormat/>
    <w:uiPriority w:val="99"/>
    <w:pPr>
      <w:adjustRightInd w:val="0"/>
      <w:spacing w:line="475" w:lineRule="exact"/>
      <w:ind w:firstLine="134"/>
      <w:jc w:val="left"/>
    </w:pPr>
    <w:rPr>
      <w:rFonts w:ascii="Times New Roman" w:hAnsi="Times New Roman" w:cs="Times New Roman"/>
      <w:kern w:val="0"/>
      <w:sz w:val="24"/>
      <w:szCs w:val="24"/>
    </w:rPr>
  </w:style>
  <w:style w:type="character" w:customStyle="1" w:styleId="481">
    <w:name w:val="Font Style115"/>
    <w:basedOn w:val="211"/>
    <w:qFormat/>
    <w:uiPriority w:val="99"/>
    <w:rPr>
      <w:rFonts w:ascii="Times New Roman" w:hAnsi="Times New Roman" w:cs="Times New Roman"/>
      <w:b/>
      <w:bCs/>
      <w:color w:val="000000"/>
      <w:sz w:val="16"/>
      <w:szCs w:val="16"/>
    </w:rPr>
  </w:style>
  <w:style w:type="paragraph" w:customStyle="1" w:styleId="482">
    <w:name w:val="Style10"/>
    <w:basedOn w:val="1"/>
    <w:qFormat/>
    <w:uiPriority w:val="99"/>
    <w:pPr>
      <w:adjustRightInd w:val="0"/>
      <w:spacing w:line="312" w:lineRule="exact"/>
    </w:pPr>
    <w:rPr>
      <w:rFonts w:ascii="Times New Roman" w:hAnsi="Times New Roman" w:cs="Times New Roman"/>
      <w:kern w:val="0"/>
      <w:sz w:val="24"/>
      <w:szCs w:val="24"/>
    </w:rPr>
  </w:style>
  <w:style w:type="paragraph" w:customStyle="1" w:styleId="483">
    <w:name w:val="Style34"/>
    <w:basedOn w:val="1"/>
    <w:qFormat/>
    <w:uiPriority w:val="99"/>
    <w:pPr>
      <w:adjustRightInd w:val="0"/>
      <w:spacing w:line="461" w:lineRule="exact"/>
    </w:pPr>
    <w:rPr>
      <w:rFonts w:ascii="Times New Roman" w:hAnsi="Times New Roman" w:cs="Times New Roman"/>
      <w:kern w:val="0"/>
      <w:sz w:val="24"/>
      <w:szCs w:val="24"/>
    </w:rPr>
  </w:style>
  <w:style w:type="paragraph" w:customStyle="1" w:styleId="484">
    <w:name w:val="Style55"/>
    <w:basedOn w:val="1"/>
    <w:qFormat/>
    <w:uiPriority w:val="99"/>
    <w:pPr>
      <w:adjustRightInd w:val="0"/>
      <w:spacing w:line="468" w:lineRule="exact"/>
      <w:jc w:val="left"/>
    </w:pPr>
    <w:rPr>
      <w:rFonts w:ascii="Times New Roman" w:hAnsi="Times New Roman" w:cs="Times New Roman"/>
      <w:kern w:val="0"/>
      <w:sz w:val="24"/>
      <w:szCs w:val="24"/>
    </w:rPr>
  </w:style>
  <w:style w:type="character" w:customStyle="1" w:styleId="485">
    <w:name w:val="Font Style113"/>
    <w:basedOn w:val="211"/>
    <w:qFormat/>
    <w:uiPriority w:val="99"/>
    <w:rPr>
      <w:rFonts w:ascii="Times New Roman" w:hAnsi="Times New Roman" w:cs="Times New Roman"/>
      <w:color w:val="000000"/>
      <w:sz w:val="18"/>
      <w:szCs w:val="18"/>
    </w:rPr>
  </w:style>
  <w:style w:type="paragraph" w:customStyle="1" w:styleId="486">
    <w:name w:val="正文文本缩进1"/>
    <w:basedOn w:val="1"/>
    <w:qFormat/>
    <w:uiPriority w:val="0"/>
    <w:pPr>
      <w:spacing w:after="120"/>
      <w:ind w:left="420" w:leftChars="200"/>
    </w:pPr>
    <w:rPr>
      <w:rFonts w:ascii="Times New Roman" w:hAnsi="Times New Roman" w:eastAsia="宋体"/>
    </w:rPr>
  </w:style>
  <w:style w:type="paragraph" w:customStyle="1" w:styleId="487">
    <w:name w:val="致同·"/>
    <w:basedOn w:val="361"/>
    <w:link w:val="488"/>
    <w:qFormat/>
    <w:uiPriority w:val="0"/>
    <w:pPr>
      <w:widowControl w:val="0"/>
      <w:spacing w:afterLines="50"/>
      <w:ind w:left="900" w:firstLine="0" w:firstLineChars="0"/>
      <w:jc w:val="both"/>
    </w:pPr>
    <w:rPr>
      <w:bCs w:val="0"/>
      <w:iCs/>
    </w:rPr>
  </w:style>
  <w:style w:type="character" w:customStyle="1" w:styleId="488">
    <w:name w:val="致同· Char"/>
    <w:link w:val="487"/>
    <w:qFormat/>
    <w:uiPriority w:val="0"/>
    <w:rPr>
      <w:rFonts w:ascii="宋体" w:hAnsi="宋体" w:eastAsia="宋体" w:cs="Times New Roman"/>
      <w:iCs/>
      <w:sz w:val="24"/>
      <w:szCs w:val="24"/>
    </w:rPr>
  </w:style>
  <w:style w:type="character" w:customStyle="1" w:styleId="489">
    <w:name w:val="致同四级标题 Char"/>
    <w:basedOn w:val="242"/>
    <w:link w:val="351"/>
    <w:qFormat/>
    <w:uiPriority w:val="0"/>
    <w:rPr>
      <w:rFonts w:eastAsia="黑体" w:cs="Arial" w:asciiTheme="minorEastAsia" w:hAnsiTheme="minorEastAsia"/>
      <w:color w:val="0046AD"/>
      <w:kern w:val="0"/>
      <w:sz w:val="24"/>
      <w:szCs w:val="24"/>
      <w:lang w:val="en-GB"/>
    </w:rPr>
  </w:style>
  <w:style w:type="character" w:customStyle="1" w:styleId="490">
    <w:name w:val="正文 + Arial Char"/>
    <w:basedOn w:val="211"/>
    <w:qFormat/>
    <w:uiPriority w:val="0"/>
    <w:rPr>
      <w:rFonts w:ascii="Arial" w:eastAsia="宋体" w:cs="Arial"/>
      <w:kern w:val="2"/>
      <w:sz w:val="21"/>
      <w:szCs w:val="24"/>
      <w:lang w:val="en-US" w:eastAsia="zh-CN" w:bidi="ar-SA"/>
    </w:rPr>
  </w:style>
  <w:style w:type="paragraph" w:customStyle="1" w:styleId="491">
    <w:name w:val="标题1"/>
    <w:basedOn w:val="3"/>
    <w:qFormat/>
    <w:uiPriority w:val="0"/>
    <w:pPr>
      <w:numPr>
        <w:numId w:val="0"/>
      </w:numPr>
      <w:adjustRightInd/>
      <w:spacing w:before="100" w:beforeAutospacing="1" w:after="100" w:afterAutospacing="1" w:line="0" w:lineRule="atLeast"/>
      <w:jc w:val="center"/>
      <w:textAlignment w:val="auto"/>
    </w:pPr>
    <w:rPr>
      <w:rFonts w:ascii="仿宋_GB2312" w:hAnsi="Times New Roman" w:eastAsia="仿宋_GB2312" w:cs="宋体-18030"/>
      <w:bCs w:val="0"/>
      <w:kern w:val="2"/>
      <w:sz w:val="32"/>
      <w:szCs w:val="32"/>
    </w:rPr>
  </w:style>
  <w:style w:type="table" w:customStyle="1" w:styleId="492">
    <w:name w:val="网格型12"/>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3">
    <w:name w:val="GT Table (default)1"/>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cPr>
    <w:tblStylePr w:type="firstRow">
      <w:pPr>
        <w:wordWrap/>
        <w:spacing w:line="200" w:lineRule="exact"/>
      </w:pPr>
      <w:rPr>
        <w:b/>
        <w:color w:val="auto"/>
        <w:sz w:val="14"/>
      </w:rPr>
      <w:tcPr>
        <w:shd w:val="clear" w:color="auto" w:fill="F58427"/>
      </w:tcPr>
    </w:tblStylePr>
  </w:style>
  <w:style w:type="table" w:customStyle="1" w:styleId="494">
    <w:name w:val="GT Table (default)11"/>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cPr>
    <w:tblStylePr w:type="firstRow">
      <w:pPr>
        <w:wordWrap/>
        <w:spacing w:line="200" w:lineRule="exact"/>
      </w:pPr>
      <w:rPr>
        <w:b/>
        <w:color w:val="auto"/>
        <w:sz w:val="14"/>
      </w:rPr>
      <w:tcPr>
        <w:shd w:val="clear" w:color="auto" w:fill="F58427"/>
      </w:tcPr>
    </w:tblStylePr>
  </w:style>
  <w:style w:type="paragraph" w:customStyle="1" w:styleId="495">
    <w:name w:val="正文部分"/>
    <w:basedOn w:val="1"/>
    <w:qFormat/>
    <w:uiPriority w:val="0"/>
    <w:pPr>
      <w:widowControl/>
      <w:spacing w:after="200" w:line="500" w:lineRule="exact"/>
      <w:ind w:firstLine="480"/>
      <w:textAlignment w:val="center"/>
    </w:pPr>
    <w:rPr>
      <w:rFonts w:ascii="Calibri" w:hAnsi="Calibri" w:eastAsia="宋体" w:cs="Times New Roman"/>
      <w:kern w:val="0"/>
      <w:sz w:val="24"/>
      <w:szCs w:val="20"/>
    </w:rPr>
  </w:style>
  <w:style w:type="paragraph" w:customStyle="1" w:styleId="496">
    <w:name w:val="表体"/>
    <w:basedOn w:val="1"/>
    <w:next w:val="1"/>
    <w:qFormat/>
    <w:uiPriority w:val="0"/>
    <w:pPr>
      <w:spacing w:line="0" w:lineRule="atLeast"/>
    </w:pPr>
    <w:rPr>
      <w:rFonts w:ascii="Times New Roman" w:hAnsi="Times New Roman" w:eastAsia="宋体" w:cs="Times New Roman"/>
      <w:b/>
      <w:snapToGrid w:val="0"/>
      <w:szCs w:val="20"/>
    </w:rPr>
  </w:style>
  <w:style w:type="paragraph" w:customStyle="1" w:styleId="497">
    <w:name w:val="致同一级标题"/>
    <w:basedOn w:val="4"/>
    <w:link w:val="552"/>
    <w:qFormat/>
    <w:uiPriority w:val="0"/>
    <w:pPr>
      <w:keepLines w:val="0"/>
      <w:widowControl/>
      <w:adjustRightInd/>
      <w:spacing w:beforeLines="50" w:after="2520" w:line="240" w:lineRule="auto"/>
      <w:textAlignment w:val="auto"/>
      <w:outlineLvl w:val="0"/>
    </w:pPr>
    <w:rPr>
      <w:rFonts w:cs="Arial" w:asciiTheme="minorEastAsia" w:hAnsiTheme="minorEastAsia"/>
      <w:kern w:val="32"/>
      <w:sz w:val="48"/>
      <w:szCs w:val="48"/>
      <w:lang w:val="en-GB"/>
    </w:rPr>
  </w:style>
  <w:style w:type="paragraph" w:customStyle="1" w:styleId="498">
    <w:name w:val="CM9"/>
    <w:basedOn w:val="352"/>
    <w:next w:val="352"/>
    <w:qFormat/>
    <w:uiPriority w:val="99"/>
    <w:pPr>
      <w:spacing w:line="468" w:lineRule="atLeast"/>
    </w:pPr>
    <w:rPr>
      <w:rFonts w:ascii="Sim Sun" w:eastAsia="Sim Sun" w:cstheme="minorBidi"/>
      <w:color w:val="auto"/>
    </w:rPr>
  </w:style>
  <w:style w:type="paragraph" w:customStyle="1" w:styleId="499">
    <w:name w:val="CM82"/>
    <w:basedOn w:val="352"/>
    <w:next w:val="352"/>
    <w:qFormat/>
    <w:uiPriority w:val="99"/>
    <w:rPr>
      <w:rFonts w:ascii="Sim Sun" w:eastAsia="Sim Sun" w:cstheme="minorBidi"/>
      <w:color w:val="auto"/>
    </w:rPr>
  </w:style>
  <w:style w:type="paragraph" w:customStyle="1" w:styleId="500">
    <w:name w:val="CM67"/>
    <w:basedOn w:val="352"/>
    <w:next w:val="352"/>
    <w:qFormat/>
    <w:uiPriority w:val="99"/>
    <w:rPr>
      <w:rFonts w:ascii="Sim Sun" w:eastAsia="Sim Sun" w:cstheme="minorBidi"/>
      <w:color w:val="auto"/>
    </w:rPr>
  </w:style>
  <w:style w:type="paragraph" w:customStyle="1" w:styleId="501">
    <w:name w:val="CM84"/>
    <w:basedOn w:val="352"/>
    <w:next w:val="352"/>
    <w:qFormat/>
    <w:uiPriority w:val="99"/>
    <w:rPr>
      <w:rFonts w:ascii="Sim Sun" w:eastAsia="Sim Sun" w:cstheme="minorBidi"/>
      <w:color w:val="auto"/>
    </w:rPr>
  </w:style>
  <w:style w:type="paragraph" w:customStyle="1" w:styleId="502">
    <w:name w:val="CM31"/>
    <w:basedOn w:val="352"/>
    <w:next w:val="352"/>
    <w:qFormat/>
    <w:uiPriority w:val="99"/>
    <w:pPr>
      <w:spacing w:line="313" w:lineRule="atLeast"/>
    </w:pPr>
    <w:rPr>
      <w:rFonts w:ascii="Sim Sun" w:eastAsia="Sim Sun" w:cstheme="minorBidi"/>
      <w:color w:val="auto"/>
    </w:rPr>
  </w:style>
  <w:style w:type="paragraph" w:customStyle="1" w:styleId="503">
    <w:name w:val="CM72"/>
    <w:basedOn w:val="352"/>
    <w:next w:val="352"/>
    <w:qFormat/>
    <w:uiPriority w:val="99"/>
    <w:rPr>
      <w:rFonts w:ascii="Sim Sun" w:eastAsia="Sim Sun" w:cstheme="minorBidi"/>
      <w:color w:val="auto"/>
    </w:rPr>
  </w:style>
  <w:style w:type="paragraph" w:customStyle="1" w:styleId="504">
    <w:name w:val="CM76"/>
    <w:basedOn w:val="352"/>
    <w:next w:val="352"/>
    <w:qFormat/>
    <w:uiPriority w:val="99"/>
    <w:rPr>
      <w:rFonts w:ascii="Sim Sun" w:eastAsia="Sim Sun" w:cstheme="minorBidi"/>
      <w:color w:val="auto"/>
    </w:rPr>
  </w:style>
  <w:style w:type="paragraph" w:customStyle="1" w:styleId="505">
    <w:name w:val="CM22"/>
    <w:basedOn w:val="352"/>
    <w:next w:val="352"/>
    <w:qFormat/>
    <w:uiPriority w:val="99"/>
    <w:pPr>
      <w:spacing w:line="471" w:lineRule="atLeast"/>
    </w:pPr>
    <w:rPr>
      <w:rFonts w:ascii="Sim Sun" w:eastAsia="Sim Sun" w:cstheme="minorBidi"/>
      <w:color w:val="auto"/>
    </w:rPr>
  </w:style>
  <w:style w:type="paragraph" w:customStyle="1" w:styleId="506">
    <w:name w:val="CM83"/>
    <w:basedOn w:val="352"/>
    <w:next w:val="352"/>
    <w:qFormat/>
    <w:uiPriority w:val="99"/>
    <w:rPr>
      <w:rFonts w:ascii="Sim Sun" w:eastAsia="Sim Sun" w:cstheme="minorBidi"/>
      <w:color w:val="auto"/>
    </w:rPr>
  </w:style>
  <w:style w:type="paragraph" w:customStyle="1" w:styleId="507">
    <w:name w:val="CM85"/>
    <w:basedOn w:val="352"/>
    <w:next w:val="352"/>
    <w:qFormat/>
    <w:uiPriority w:val="99"/>
    <w:rPr>
      <w:rFonts w:ascii="Sim Sun" w:eastAsia="Sim Sun" w:cstheme="minorBidi"/>
      <w:color w:val="auto"/>
    </w:rPr>
  </w:style>
  <w:style w:type="paragraph" w:customStyle="1" w:styleId="508">
    <w:name w:val="CM77"/>
    <w:basedOn w:val="352"/>
    <w:next w:val="352"/>
    <w:qFormat/>
    <w:uiPriority w:val="99"/>
    <w:rPr>
      <w:rFonts w:ascii="Sim Sun" w:eastAsia="Sim Sun" w:cstheme="minorBidi"/>
      <w:color w:val="auto"/>
    </w:rPr>
  </w:style>
  <w:style w:type="paragraph" w:customStyle="1" w:styleId="509">
    <w:name w:val="CM74"/>
    <w:basedOn w:val="352"/>
    <w:next w:val="352"/>
    <w:qFormat/>
    <w:uiPriority w:val="99"/>
    <w:rPr>
      <w:rFonts w:ascii="Sim Sun" w:eastAsia="Sim Sun" w:cstheme="minorBidi"/>
      <w:color w:val="auto"/>
    </w:rPr>
  </w:style>
  <w:style w:type="paragraph" w:customStyle="1" w:styleId="510">
    <w:name w:val="CM35"/>
    <w:basedOn w:val="352"/>
    <w:next w:val="352"/>
    <w:qFormat/>
    <w:uiPriority w:val="99"/>
    <w:pPr>
      <w:spacing w:line="571" w:lineRule="atLeast"/>
    </w:pPr>
    <w:rPr>
      <w:rFonts w:ascii="Sim Sun" w:eastAsia="Sim Sun" w:cstheme="minorBidi"/>
      <w:color w:val="auto"/>
    </w:rPr>
  </w:style>
  <w:style w:type="paragraph" w:customStyle="1" w:styleId="511">
    <w:name w:val="CM88"/>
    <w:basedOn w:val="352"/>
    <w:next w:val="352"/>
    <w:qFormat/>
    <w:uiPriority w:val="99"/>
    <w:rPr>
      <w:rFonts w:ascii="Sim Sun" w:eastAsia="Sim Sun" w:cstheme="minorBidi"/>
      <w:color w:val="auto"/>
    </w:rPr>
  </w:style>
  <w:style w:type="paragraph" w:customStyle="1" w:styleId="512">
    <w:name w:val="CM69"/>
    <w:basedOn w:val="352"/>
    <w:next w:val="352"/>
    <w:qFormat/>
    <w:uiPriority w:val="99"/>
    <w:rPr>
      <w:rFonts w:ascii="Sim Sun" w:eastAsia="Sim Sun" w:cstheme="minorBidi"/>
      <w:color w:val="auto"/>
    </w:rPr>
  </w:style>
  <w:style w:type="paragraph" w:customStyle="1" w:styleId="513">
    <w:name w:val="CM70"/>
    <w:basedOn w:val="352"/>
    <w:next w:val="352"/>
    <w:qFormat/>
    <w:uiPriority w:val="99"/>
    <w:rPr>
      <w:rFonts w:ascii="Sim Sun" w:eastAsia="Sim Sun" w:cstheme="minorBidi"/>
      <w:color w:val="auto"/>
    </w:rPr>
  </w:style>
  <w:style w:type="paragraph" w:customStyle="1" w:styleId="514">
    <w:name w:val="CM41"/>
    <w:basedOn w:val="352"/>
    <w:next w:val="352"/>
    <w:qFormat/>
    <w:uiPriority w:val="99"/>
    <w:pPr>
      <w:spacing w:line="571" w:lineRule="atLeast"/>
    </w:pPr>
    <w:rPr>
      <w:rFonts w:ascii="Sim Sun" w:eastAsia="Sim Sun" w:cstheme="minorBidi"/>
      <w:color w:val="auto"/>
    </w:rPr>
  </w:style>
  <w:style w:type="paragraph" w:customStyle="1" w:styleId="515">
    <w:name w:val="Normalab"/>
    <w:basedOn w:val="1"/>
    <w:qFormat/>
    <w:uiPriority w:val="0"/>
    <w:pPr>
      <w:tabs>
        <w:tab w:val="left" w:pos="0"/>
        <w:tab w:val="left" w:pos="1134"/>
        <w:tab w:val="left" w:pos="8505"/>
      </w:tabs>
      <w:autoSpaceDE w:val="0"/>
      <w:autoSpaceDN w:val="0"/>
      <w:adjustRightInd w:val="0"/>
      <w:spacing w:before="60" w:after="60" w:line="360" w:lineRule="atLeast"/>
      <w:ind w:left="1843" w:hanging="1134"/>
    </w:pPr>
    <w:rPr>
      <w:rFonts w:ascii="Arial" w:hAnsi="Arial" w:eastAsia="宋体" w:cs="Times New Roman"/>
      <w:kern w:val="0"/>
      <w:sz w:val="24"/>
      <w:szCs w:val="20"/>
    </w:rPr>
  </w:style>
  <w:style w:type="table" w:customStyle="1" w:styleId="516">
    <w:name w:val="中等深浅网格 1 - 强调文字颜色 51"/>
    <w:basedOn w:val="88"/>
    <w:qFormat/>
    <w:uiPriority w:val="67"/>
    <w:pPr>
      <w:jc w:val="center"/>
    </w:p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cPr>
        <w:tcBorders>
          <w:top w:val="single" w:color="78C0D4" w:sz="18" w:space="0"/>
        </w:tcBorders>
      </w:tcPr>
    </w:tblStylePr>
    <w:tblStylePr w:type="firstCol">
      <w:rPr>
        <w:b/>
        <w:bCs/>
      </w:rPr>
    </w:tblStylePr>
    <w:tblStylePr w:type="lastCol">
      <w:rPr>
        <w:b/>
        <w:bCs/>
      </w:rPr>
    </w:tblStylePr>
    <w:tblStylePr w:type="band1Vert">
      <w:tcPr>
        <w:shd w:val="clear" w:color="auto" w:fill="A5D5E2"/>
      </w:tcPr>
    </w:tblStylePr>
    <w:tblStylePr w:type="band1Horz">
      <w:tcPr>
        <w:shd w:val="clear" w:color="auto" w:fill="A5D5E2"/>
      </w:tcPr>
    </w:tblStylePr>
  </w:style>
  <w:style w:type="paragraph" w:customStyle="1" w:styleId="517">
    <w:name w:val="二级"/>
    <w:basedOn w:val="1"/>
    <w:qFormat/>
    <w:uiPriority w:val="0"/>
    <w:pPr>
      <w:autoSpaceDE w:val="0"/>
      <w:autoSpaceDN w:val="0"/>
      <w:adjustRightInd w:val="0"/>
    </w:pPr>
    <w:rPr>
      <w:rFonts w:ascii="汉仪中黑简" w:hAnsi="Times New Roman" w:eastAsia="汉仪中黑简" w:cs="Times New Roman"/>
      <w:kern w:val="0"/>
      <w:sz w:val="28"/>
      <w:szCs w:val="28"/>
    </w:rPr>
  </w:style>
  <w:style w:type="paragraph" w:customStyle="1" w:styleId="518">
    <w:name w:val="致同五级标题"/>
    <w:basedOn w:val="5"/>
    <w:link w:val="555"/>
    <w:qFormat/>
    <w:uiPriority w:val="0"/>
    <w:pPr>
      <w:keepLines w:val="0"/>
      <w:widowControl/>
      <w:spacing w:beforeLines="100" w:afterLines="100" w:line="360" w:lineRule="exact"/>
      <w:jc w:val="left"/>
      <w:outlineLvl w:val="4"/>
    </w:pPr>
    <w:rPr>
      <w:rFonts w:ascii="Arial" w:hAnsi="Arial" w:cs="Arial"/>
      <w:kern w:val="32"/>
      <w:sz w:val="24"/>
      <w:szCs w:val="24"/>
      <w:lang w:val="en-GB"/>
    </w:rPr>
  </w:style>
  <w:style w:type="paragraph" w:customStyle="1" w:styleId="519">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0">
    <w:name w:val="p0 New"/>
    <w:basedOn w:val="519"/>
    <w:qFormat/>
    <w:uiPriority w:val="0"/>
    <w:pPr>
      <w:widowControl/>
    </w:pPr>
    <w:rPr>
      <w:kern w:val="0"/>
      <w:szCs w:val="20"/>
    </w:rPr>
  </w:style>
  <w:style w:type="paragraph" w:customStyle="1" w:styleId="52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topLinePunct/>
      <w:jc w:val="both"/>
    </w:pPr>
    <w:rPr>
      <w:rFonts w:ascii="Calibri" w:hAnsi="Calibri" w:eastAsia="宋体" w:cs="Times New Roman"/>
      <w:kern w:val="2"/>
      <w:sz w:val="21"/>
      <w:szCs w:val="24"/>
      <w:lang w:val="en-US" w:eastAsia="zh-CN" w:bidi="ar-SA"/>
    </w:rPr>
  </w:style>
  <w:style w:type="paragraph" w:customStyle="1" w:styleId="522">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3">
    <w:name w:val="纯文本1 New New New New New New New New"/>
    <w:basedOn w:val="1"/>
    <w:qFormat/>
    <w:uiPriority w:val="0"/>
    <w:pPr>
      <w:suppressAutoHyphens/>
    </w:pPr>
    <w:rPr>
      <w:rFonts w:ascii="宋体" w:hAnsi="宋体" w:eastAsia="方正仿宋_GBK" w:cs="Times New Roman"/>
      <w:kern w:val="1"/>
      <w:szCs w:val="20"/>
      <w:lang w:eastAsia="ar-SA"/>
    </w:rPr>
  </w:style>
  <w:style w:type="paragraph" w:customStyle="1" w:styleId="524">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Calibri" w:hAnsi="Calibri" w:eastAsia="宋体" w:cs="Times New Roman"/>
      <w:kern w:val="1"/>
      <w:sz w:val="21"/>
      <w:lang w:val="en-US" w:eastAsia="ar-SA" w:bidi="ar-SA"/>
    </w:rPr>
  </w:style>
  <w:style w:type="paragraph" w:customStyle="1" w:styleId="525">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4"/>
    </w:rPr>
  </w:style>
  <w:style w:type="paragraph" w:customStyle="1" w:styleId="526">
    <w:name w:val="Char Char1 Char Char Char Char"/>
    <w:basedOn w:val="1"/>
    <w:qFormat/>
    <w:uiPriority w:val="0"/>
    <w:pPr>
      <w:ind w:firstLine="482"/>
    </w:pPr>
    <w:rPr>
      <w:rFonts w:ascii="Times" w:hAnsi="Times" w:eastAsia="宋体" w:cs="Times New Roman"/>
      <w:color w:val="000000"/>
      <w:kern w:val="0"/>
      <w:sz w:val="24"/>
      <w:szCs w:val="20"/>
    </w:rPr>
  </w:style>
  <w:style w:type="character" w:customStyle="1" w:styleId="527">
    <w:name w:val="正文缩进 Char"/>
    <w:link w:val="21"/>
    <w:qFormat/>
    <w:uiPriority w:val="0"/>
    <w:rPr>
      <w:rFonts w:cs="Times New Roman"/>
      <w:kern w:val="0"/>
      <w:sz w:val="20"/>
      <w:szCs w:val="20"/>
      <w:lang w:val="en-GB" w:eastAsia="en-GB"/>
    </w:rPr>
  </w:style>
  <w:style w:type="paragraph" w:customStyle="1" w:styleId="528">
    <w:name w:val="Char Char1 Char Char Char Char1"/>
    <w:basedOn w:val="1"/>
    <w:qFormat/>
    <w:uiPriority w:val="0"/>
    <w:pPr>
      <w:ind w:firstLine="482"/>
    </w:pPr>
    <w:rPr>
      <w:rFonts w:ascii="Times" w:hAnsi="Times" w:eastAsia="宋体" w:cs="Times New Roman"/>
      <w:color w:val="000000"/>
      <w:kern w:val="0"/>
      <w:sz w:val="24"/>
      <w:szCs w:val="20"/>
    </w:rPr>
  </w:style>
  <w:style w:type="paragraph" w:customStyle="1" w:styleId="529">
    <w:name w:val="样式"/>
    <w:qFormat/>
    <w:uiPriority w:val="0"/>
    <w:pPr>
      <w:widowControl w:val="0"/>
      <w:autoSpaceDE w:val="0"/>
      <w:autoSpaceDN w:val="0"/>
      <w:adjustRightInd w:val="0"/>
      <w:jc w:val="both"/>
      <w:textAlignment w:val="baseline"/>
    </w:pPr>
    <w:rPr>
      <w:rFonts w:ascii="宋体" w:hAnsi="Times New Roman" w:eastAsia="宋体" w:cs="Times New Roman"/>
      <w:sz w:val="24"/>
      <w:lang w:val="en-US" w:eastAsia="zh-CN" w:bidi="ar-SA"/>
    </w:rPr>
  </w:style>
  <w:style w:type="paragraph" w:customStyle="1" w:styleId="530">
    <w:name w:val="致同2"/>
    <w:basedOn w:val="1"/>
    <w:link w:val="531"/>
    <w:qFormat/>
    <w:uiPriority w:val="0"/>
    <w:pPr>
      <w:keepNext/>
      <w:widowControl/>
      <w:spacing w:afterLines="100"/>
      <w:outlineLvl w:val="2"/>
    </w:pPr>
    <w:rPr>
      <w:rFonts w:ascii="宋体" w:hAnsi="宋体" w:eastAsia="宋体" w:cs="Arial"/>
      <w:b/>
      <w:bCs/>
      <w:color w:val="4F2D7F"/>
      <w:kern w:val="32"/>
      <w:sz w:val="32"/>
      <w:szCs w:val="32"/>
      <w:lang w:val="en-GB"/>
    </w:rPr>
  </w:style>
  <w:style w:type="character" w:customStyle="1" w:styleId="531">
    <w:name w:val="致同2 Char"/>
    <w:basedOn w:val="211"/>
    <w:link w:val="530"/>
    <w:qFormat/>
    <w:uiPriority w:val="0"/>
    <w:rPr>
      <w:rFonts w:ascii="宋体" w:hAnsi="宋体" w:eastAsia="宋体" w:cs="Arial"/>
      <w:b/>
      <w:bCs/>
      <w:color w:val="4F2D7F"/>
      <w:kern w:val="32"/>
      <w:sz w:val="32"/>
      <w:szCs w:val="32"/>
      <w:lang w:val="en-GB"/>
    </w:rPr>
  </w:style>
  <w:style w:type="character" w:customStyle="1" w:styleId="532">
    <w:name w:val="Char Char"/>
    <w:link w:val="533"/>
    <w:qFormat/>
    <w:uiPriority w:val="0"/>
    <w:rPr>
      <w:rFonts w:ascii="宋体" w:hAnsi="Courier New" w:cs="Courier New"/>
      <w:sz w:val="24"/>
      <w:szCs w:val="21"/>
    </w:rPr>
  </w:style>
  <w:style w:type="paragraph" w:customStyle="1" w:styleId="533">
    <w:name w:val="纯文本1"/>
    <w:basedOn w:val="1"/>
    <w:link w:val="532"/>
    <w:qFormat/>
    <w:uiPriority w:val="0"/>
    <w:pPr>
      <w:spacing w:line="360" w:lineRule="auto"/>
      <w:ind w:firstLine="480" w:firstLineChars="200"/>
    </w:pPr>
    <w:rPr>
      <w:rFonts w:ascii="宋体" w:hAnsi="Courier New" w:cs="Courier New"/>
      <w:sz w:val="24"/>
      <w:szCs w:val="21"/>
    </w:rPr>
  </w:style>
  <w:style w:type="paragraph" w:customStyle="1" w:styleId="534">
    <w:name w:val="日期2"/>
    <w:basedOn w:val="1"/>
    <w:next w:val="1"/>
    <w:qFormat/>
    <w:uiPriority w:val="0"/>
    <w:pPr>
      <w:widowControl/>
      <w:ind w:left="100" w:leftChars="2500"/>
      <w:jc w:val="left"/>
    </w:pPr>
    <w:rPr>
      <w:rFonts w:ascii="Calibri" w:hAnsi="Calibri"/>
      <w:sz w:val="24"/>
      <w:szCs w:val="24"/>
      <w:lang w:eastAsia="en-US"/>
    </w:rPr>
  </w:style>
  <w:style w:type="paragraph" w:customStyle="1" w:styleId="535">
    <w:name w:val="日期1"/>
    <w:basedOn w:val="1"/>
    <w:next w:val="1"/>
    <w:qFormat/>
    <w:uiPriority w:val="0"/>
    <w:pPr>
      <w:widowControl/>
      <w:ind w:left="100" w:leftChars="2500"/>
      <w:jc w:val="left"/>
    </w:pPr>
    <w:rPr>
      <w:rFonts w:ascii="Calibri" w:hAnsi="Calibri"/>
      <w:sz w:val="24"/>
      <w:szCs w:val="24"/>
      <w:lang w:eastAsia="en-US"/>
    </w:rPr>
  </w:style>
  <w:style w:type="paragraph" w:customStyle="1" w:styleId="536">
    <w:name w:val="致同正文文本（11）"/>
    <w:basedOn w:val="1"/>
    <w:link w:val="537"/>
    <w:qFormat/>
    <w:uiPriority w:val="0"/>
    <w:pPr>
      <w:widowControl/>
      <w:spacing w:afterLines="100" w:line="360" w:lineRule="exact"/>
      <w:ind w:firstLine="420" w:firstLineChars="200"/>
      <w:jc w:val="left"/>
    </w:pPr>
    <w:rPr>
      <w:rFonts w:ascii="宋体" w:hAnsi="宋体" w:eastAsia="宋体" w:cs="Arial"/>
      <w:kern w:val="0"/>
      <w:lang w:val="en-GB"/>
    </w:rPr>
  </w:style>
  <w:style w:type="character" w:customStyle="1" w:styleId="537">
    <w:name w:val="致同正文文本（11） Char"/>
    <w:basedOn w:val="211"/>
    <w:link w:val="536"/>
    <w:qFormat/>
    <w:uiPriority w:val="0"/>
    <w:rPr>
      <w:rFonts w:ascii="宋体" w:hAnsi="宋体" w:eastAsia="宋体" w:cs="Arial"/>
      <w:kern w:val="0"/>
      <w:lang w:val="en-GB"/>
    </w:rPr>
  </w:style>
  <w:style w:type="character" w:customStyle="1" w:styleId="538">
    <w:name w:val="致同新1级标题 Char"/>
    <w:basedOn w:val="211"/>
    <w:link w:val="246"/>
    <w:qFormat/>
    <w:uiPriority w:val="0"/>
    <w:rPr>
      <w:b/>
      <w:bCs/>
      <w:color w:val="4F2D7F"/>
      <w:kern w:val="44"/>
      <w:sz w:val="52"/>
      <w:szCs w:val="52"/>
    </w:rPr>
  </w:style>
  <w:style w:type="paragraph" w:customStyle="1" w:styleId="539">
    <w:name w:val="4致同4级标题"/>
    <w:basedOn w:val="1"/>
    <w:link w:val="540"/>
    <w:qFormat/>
    <w:uiPriority w:val="0"/>
    <w:pPr>
      <w:keepNext/>
      <w:keepLines/>
      <w:spacing w:before="100" w:beforeAutospacing="1" w:line="360" w:lineRule="exact"/>
      <w:outlineLvl w:val="3"/>
    </w:pPr>
    <w:rPr>
      <w:rFonts w:ascii="宋体" w:hAnsi="宋体" w:eastAsia="宋体" w:cs="Times New Roman"/>
      <w:b/>
      <w:bCs/>
      <w:color w:val="006D55"/>
      <w:sz w:val="28"/>
      <w:szCs w:val="28"/>
    </w:rPr>
  </w:style>
  <w:style w:type="character" w:customStyle="1" w:styleId="540">
    <w:name w:val="4致同4级标题 Char"/>
    <w:link w:val="539"/>
    <w:qFormat/>
    <w:uiPriority w:val="0"/>
    <w:rPr>
      <w:rFonts w:ascii="宋体" w:hAnsi="宋体" w:eastAsia="宋体" w:cs="Times New Roman"/>
      <w:b/>
      <w:bCs/>
      <w:color w:val="006D55"/>
      <w:sz w:val="28"/>
      <w:szCs w:val="28"/>
    </w:rPr>
  </w:style>
  <w:style w:type="paragraph" w:customStyle="1" w:styleId="541">
    <w:name w:val="6致同7级标题"/>
    <w:basedOn w:val="1"/>
    <w:link w:val="542"/>
    <w:qFormat/>
    <w:uiPriority w:val="0"/>
    <w:pPr>
      <w:spacing w:afterLines="100" w:line="360" w:lineRule="exact"/>
      <w:ind w:firstLine="442" w:firstLineChars="200"/>
      <w:outlineLvl w:val="4"/>
    </w:pPr>
    <w:rPr>
      <w:rFonts w:ascii="宋体" w:hAnsi="宋体" w:eastAsia="宋体" w:cs="Times New Roman"/>
      <w:b/>
      <w:sz w:val="22"/>
    </w:rPr>
  </w:style>
  <w:style w:type="character" w:customStyle="1" w:styleId="542">
    <w:name w:val="6致同7级标题 Char"/>
    <w:link w:val="541"/>
    <w:qFormat/>
    <w:uiPriority w:val="0"/>
    <w:rPr>
      <w:rFonts w:ascii="宋体" w:hAnsi="宋体" w:eastAsia="宋体" w:cs="Times New Roman"/>
      <w:b/>
      <w:sz w:val="22"/>
    </w:rPr>
  </w:style>
  <w:style w:type="paragraph" w:customStyle="1" w:styleId="543">
    <w:name w:val="3致同3级标题"/>
    <w:basedOn w:val="1"/>
    <w:link w:val="544"/>
    <w:qFormat/>
    <w:uiPriority w:val="0"/>
    <w:pPr>
      <w:keepNext/>
      <w:keepLines/>
      <w:spacing w:before="100" w:beforeAutospacing="1" w:line="360" w:lineRule="exact"/>
      <w:outlineLvl w:val="2"/>
    </w:pPr>
    <w:rPr>
      <w:rFonts w:ascii="宋体" w:hAnsi="宋体" w:eastAsia="宋体" w:cs="Times New Roman"/>
      <w:b/>
      <w:bCs/>
      <w:color w:val="C30045"/>
      <w:sz w:val="32"/>
      <w:szCs w:val="32"/>
    </w:rPr>
  </w:style>
  <w:style w:type="character" w:customStyle="1" w:styleId="544">
    <w:name w:val="3致同3级标题 Char"/>
    <w:link w:val="543"/>
    <w:qFormat/>
    <w:uiPriority w:val="0"/>
    <w:rPr>
      <w:rFonts w:ascii="宋体" w:hAnsi="宋体" w:eastAsia="宋体" w:cs="Times New Roman"/>
      <w:b/>
      <w:bCs/>
      <w:color w:val="C30045"/>
      <w:sz w:val="32"/>
      <w:szCs w:val="32"/>
    </w:rPr>
  </w:style>
  <w:style w:type="paragraph" w:customStyle="1" w:styleId="545">
    <w:name w:val="Char Char Char"/>
    <w:basedOn w:val="1"/>
    <w:qFormat/>
    <w:uiPriority w:val="0"/>
    <w:rPr>
      <w:rFonts w:ascii="Times New Roman" w:hAnsi="Times New Roman" w:eastAsia="宋体" w:cs="Times New Roman"/>
      <w:szCs w:val="24"/>
    </w:rPr>
  </w:style>
  <w:style w:type="character" w:customStyle="1" w:styleId="546">
    <w:name w:val="line-height"/>
    <w:basedOn w:val="211"/>
    <w:qFormat/>
    <w:uiPriority w:val="0"/>
  </w:style>
  <w:style w:type="paragraph" w:customStyle="1" w:styleId="547">
    <w:name w:val="Intro/Summary Text"/>
    <w:basedOn w:val="1"/>
    <w:qFormat/>
    <w:uiPriority w:val="0"/>
    <w:pPr>
      <w:widowControl/>
      <w:spacing w:before="240" w:after="120"/>
      <w:ind w:left="700"/>
      <w:jc w:val="left"/>
    </w:pPr>
    <w:rPr>
      <w:rFonts w:ascii="Arial" w:hAnsi="Arial" w:eastAsia="宋体" w:cs="Arial"/>
      <w:i/>
      <w:iCs/>
      <w:kern w:val="0"/>
      <w:sz w:val="24"/>
      <w:szCs w:val="24"/>
      <w:lang w:eastAsia="en-US"/>
    </w:rPr>
  </w:style>
  <w:style w:type="character" w:customStyle="1" w:styleId="548">
    <w:name w:val="Standard Paragraph Char Char"/>
    <w:link w:val="354"/>
    <w:qFormat/>
    <w:locked/>
    <w:uiPriority w:val="0"/>
    <w:rPr>
      <w:rFonts w:ascii="Arial" w:hAnsi="Arial" w:eastAsia="宋体" w:cs="Arial"/>
      <w:kern w:val="0"/>
      <w:sz w:val="24"/>
      <w:szCs w:val="24"/>
      <w:lang w:eastAsia="en-US"/>
    </w:rPr>
  </w:style>
  <w:style w:type="paragraph" w:customStyle="1" w:styleId="549">
    <w:name w:val="列出段落1"/>
    <w:basedOn w:val="1"/>
    <w:qFormat/>
    <w:uiPriority w:val="34"/>
    <w:pPr>
      <w:ind w:firstLine="420" w:firstLineChars="200"/>
    </w:pPr>
    <w:rPr>
      <w:rFonts w:ascii="Calibri" w:hAnsi="Calibri" w:eastAsia="宋体" w:cs="Times New Roman"/>
    </w:rPr>
  </w:style>
  <w:style w:type="paragraph" w:customStyle="1" w:styleId="55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551">
    <w:name w:val="xl64"/>
    <w:basedOn w:val="1"/>
    <w:qFormat/>
    <w:uiPriority w:val="0"/>
    <w:pPr>
      <w:widowControl/>
      <w:spacing w:before="100" w:beforeAutospacing="1" w:after="100" w:afterAutospacing="1"/>
      <w:jc w:val="left"/>
      <w:textAlignment w:val="top"/>
    </w:pPr>
    <w:rPr>
      <w:rFonts w:ascii="宋体" w:hAnsi="宋体" w:eastAsia="宋体" w:cs="宋体"/>
      <w:kern w:val="0"/>
      <w:sz w:val="20"/>
      <w:szCs w:val="20"/>
    </w:rPr>
  </w:style>
  <w:style w:type="character" w:customStyle="1" w:styleId="552">
    <w:name w:val="致同一级标题 Char"/>
    <w:basedOn w:val="241"/>
    <w:link w:val="497"/>
    <w:qFormat/>
    <w:uiPriority w:val="0"/>
    <w:rPr>
      <w:rFonts w:eastAsia="黑体" w:cs="Arial" w:asciiTheme="minorEastAsia" w:hAnsiTheme="minorEastAsia"/>
      <w:kern w:val="32"/>
      <w:sz w:val="48"/>
      <w:szCs w:val="48"/>
      <w:lang w:val="en-GB"/>
    </w:rPr>
  </w:style>
  <w:style w:type="character" w:customStyle="1" w:styleId="553">
    <w:name w:val="致同二级标题 Char"/>
    <w:basedOn w:val="241"/>
    <w:link w:val="344"/>
    <w:qFormat/>
    <w:uiPriority w:val="0"/>
    <w:rPr>
      <w:rFonts w:ascii="Arial Black" w:hAnsi="Arial Black" w:eastAsia="黑体" w:cs="Arial"/>
      <w:color w:val="4F2D7F"/>
      <w:kern w:val="32"/>
      <w:sz w:val="28"/>
      <w:szCs w:val="28"/>
      <w:lang w:val="en-GB"/>
    </w:rPr>
  </w:style>
  <w:style w:type="character" w:customStyle="1" w:styleId="554">
    <w:name w:val="致同三级标题 Char"/>
    <w:basedOn w:val="240"/>
    <w:link w:val="356"/>
    <w:qFormat/>
    <w:uiPriority w:val="0"/>
    <w:rPr>
      <w:rFonts w:ascii="宋体" w:hAnsi="宋体" w:eastAsia="宋体" w:cs="Arial"/>
      <w:color w:val="882345"/>
      <w:kern w:val="32"/>
      <w:sz w:val="24"/>
      <w:szCs w:val="24"/>
      <w:lang w:val="en-GB"/>
    </w:rPr>
  </w:style>
  <w:style w:type="character" w:customStyle="1" w:styleId="555">
    <w:name w:val="致同五级标题 Char"/>
    <w:basedOn w:val="247"/>
    <w:link w:val="518"/>
    <w:qFormat/>
    <w:uiPriority w:val="0"/>
    <w:rPr>
      <w:rFonts w:ascii="Arial" w:hAnsi="Arial" w:eastAsia="宋体" w:cs="Arial"/>
      <w:kern w:val="32"/>
      <w:sz w:val="24"/>
      <w:szCs w:val="24"/>
      <w:lang w:val="en-GB"/>
    </w:rPr>
  </w:style>
  <w:style w:type="paragraph" w:customStyle="1" w:styleId="556">
    <w:name w:val="致同二级标记"/>
    <w:basedOn w:val="24"/>
    <w:link w:val="559"/>
    <w:qFormat/>
    <w:uiPriority w:val="0"/>
    <w:pPr>
      <w:numPr>
        <w:numId w:val="0"/>
      </w:numPr>
      <w:tabs>
        <w:tab w:val="left" w:pos="227"/>
        <w:tab w:val="left" w:pos="454"/>
        <w:tab w:val="left" w:pos="993"/>
      </w:tabs>
      <w:spacing w:afterLines="50" w:line="360" w:lineRule="exact"/>
      <w:ind w:left="992" w:hanging="425"/>
    </w:pPr>
    <w:rPr>
      <w:rFonts w:ascii="Garamond" w:hAnsi="Garamond" w:cs="Arial"/>
      <w:sz w:val="24"/>
      <w:szCs w:val="24"/>
      <w:lang w:eastAsia="zh-CN"/>
    </w:rPr>
  </w:style>
  <w:style w:type="character" w:customStyle="1" w:styleId="557">
    <w:name w:val="致同一级标记 Char"/>
    <w:basedOn w:val="211"/>
    <w:link w:val="404"/>
    <w:qFormat/>
    <w:uiPriority w:val="0"/>
    <w:rPr>
      <w:rFonts w:ascii="Garamond" w:hAnsi="Garamond" w:cs="Arial"/>
      <w:kern w:val="0"/>
      <w:sz w:val="24"/>
      <w:szCs w:val="24"/>
      <w:lang w:val="en-GB"/>
    </w:rPr>
  </w:style>
  <w:style w:type="paragraph" w:customStyle="1" w:styleId="558">
    <w:name w:val="致同一级序号"/>
    <w:basedOn w:val="20"/>
    <w:link w:val="561"/>
    <w:qFormat/>
    <w:uiPriority w:val="0"/>
    <w:pPr>
      <w:numPr>
        <w:numId w:val="0"/>
      </w:numPr>
      <w:spacing w:afterLines="50" w:line="360" w:lineRule="exact"/>
      <w:ind w:left="1077" w:hanging="720"/>
      <w:contextualSpacing w:val="0"/>
    </w:pPr>
    <w:rPr>
      <w:rFonts w:ascii="Garamond" w:hAnsi="Garamond" w:cs="Arial"/>
      <w:sz w:val="24"/>
      <w:szCs w:val="24"/>
      <w:lang w:eastAsia="zh-CN"/>
    </w:rPr>
  </w:style>
  <w:style w:type="character" w:customStyle="1" w:styleId="559">
    <w:name w:val="致同二级标记 Char"/>
    <w:basedOn w:val="211"/>
    <w:link w:val="556"/>
    <w:qFormat/>
    <w:uiPriority w:val="0"/>
    <w:rPr>
      <w:rFonts w:ascii="Garamond" w:hAnsi="Garamond" w:cs="Arial"/>
      <w:kern w:val="0"/>
      <w:sz w:val="24"/>
      <w:szCs w:val="24"/>
      <w:lang w:val="en-GB"/>
    </w:rPr>
  </w:style>
  <w:style w:type="paragraph" w:customStyle="1" w:styleId="560">
    <w:name w:val="致同二级序号"/>
    <w:basedOn w:val="558"/>
    <w:link w:val="563"/>
    <w:qFormat/>
    <w:uiPriority w:val="0"/>
  </w:style>
  <w:style w:type="character" w:customStyle="1" w:styleId="561">
    <w:name w:val="致同一级序号 Char"/>
    <w:basedOn w:val="211"/>
    <w:link w:val="558"/>
    <w:qFormat/>
    <w:uiPriority w:val="0"/>
    <w:rPr>
      <w:rFonts w:ascii="Garamond" w:hAnsi="Garamond" w:cs="Arial"/>
      <w:kern w:val="0"/>
      <w:sz w:val="24"/>
      <w:szCs w:val="24"/>
      <w:lang w:val="en-GB"/>
    </w:rPr>
  </w:style>
  <w:style w:type="paragraph" w:customStyle="1" w:styleId="562">
    <w:name w:val="致同三级序号"/>
    <w:basedOn w:val="558"/>
    <w:link w:val="564"/>
    <w:qFormat/>
    <w:uiPriority w:val="0"/>
    <w:pPr>
      <w:spacing w:after="120"/>
    </w:pPr>
  </w:style>
  <w:style w:type="character" w:customStyle="1" w:styleId="563">
    <w:name w:val="致同二级序号 Char"/>
    <w:basedOn w:val="561"/>
    <w:link w:val="560"/>
    <w:qFormat/>
    <w:uiPriority w:val="0"/>
    <w:rPr>
      <w:rFonts w:ascii="Garamond" w:hAnsi="Garamond" w:cs="Arial"/>
      <w:kern w:val="0"/>
      <w:sz w:val="24"/>
      <w:szCs w:val="24"/>
      <w:lang w:val="en-GB"/>
    </w:rPr>
  </w:style>
  <w:style w:type="character" w:customStyle="1" w:styleId="564">
    <w:name w:val="致同三级序号 Char"/>
    <w:basedOn w:val="561"/>
    <w:link w:val="562"/>
    <w:qFormat/>
    <w:uiPriority w:val="0"/>
    <w:rPr>
      <w:rFonts w:ascii="Garamond" w:hAnsi="Garamond" w:cs="Arial"/>
      <w:kern w:val="0"/>
      <w:sz w:val="24"/>
      <w:szCs w:val="24"/>
      <w:lang w:val="en-GB"/>
    </w:rPr>
  </w:style>
  <w:style w:type="paragraph" w:customStyle="1" w:styleId="565">
    <w:name w:val="TOC 标题111"/>
    <w:basedOn w:val="3"/>
    <w:next w:val="1"/>
    <w:unhideWhenUsed/>
    <w:qFormat/>
    <w:uiPriority w:val="39"/>
    <w:pPr>
      <w:widowControl/>
      <w:numPr>
        <w:numId w:val="0"/>
      </w:numPr>
      <w:adjustRightInd/>
      <w:spacing w:before="480" w:after="0" w:line="276" w:lineRule="auto"/>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566">
    <w:name w:val="Back page"/>
    <w:qFormat/>
    <w:uiPriority w:val="0"/>
    <w:rPr>
      <w:rFonts w:ascii="Arial Black" w:hAnsi="Arial Black" w:cs="Arial" w:eastAsiaTheme="minorEastAsia"/>
      <w:sz w:val="18"/>
      <w:lang w:val="en-GB" w:eastAsia="en-US" w:bidi="ar-SA"/>
    </w:rPr>
  </w:style>
  <w:style w:type="paragraph" w:customStyle="1" w:styleId="567">
    <w:name w:val="列出段落2"/>
    <w:basedOn w:val="1"/>
    <w:qFormat/>
    <w:uiPriority w:val="34"/>
    <w:pPr>
      <w:ind w:firstLine="420" w:firstLineChars="200"/>
    </w:pPr>
    <w:rPr>
      <w:rFonts w:ascii="Times New Roman" w:hAnsi="Times New Roman" w:eastAsia="宋体" w:cs="Times New Roman"/>
      <w:szCs w:val="24"/>
    </w:rPr>
  </w:style>
  <w:style w:type="paragraph" w:customStyle="1" w:styleId="568">
    <w:name w:val="书目11"/>
    <w:basedOn w:val="1"/>
    <w:next w:val="1"/>
    <w:unhideWhenUsed/>
    <w:qFormat/>
    <w:uiPriority w:val="37"/>
    <w:pPr>
      <w:widowControl/>
      <w:spacing w:line="240" w:lineRule="atLeast"/>
      <w:contextualSpacing/>
      <w:jc w:val="left"/>
    </w:pPr>
    <w:rPr>
      <w:rFonts w:cs="Times New Roman"/>
      <w:kern w:val="0"/>
      <w:sz w:val="20"/>
      <w:szCs w:val="20"/>
      <w:lang w:val="en-GB" w:eastAsia="en-GB"/>
    </w:rPr>
  </w:style>
  <w:style w:type="character" w:customStyle="1" w:styleId="569">
    <w:name w:val="书籍标题11"/>
    <w:basedOn w:val="211"/>
    <w:qFormat/>
    <w:uiPriority w:val="33"/>
    <w:rPr>
      <w:b/>
      <w:bCs/>
      <w:smallCaps/>
      <w:spacing w:val="5"/>
    </w:rPr>
  </w:style>
  <w:style w:type="character" w:customStyle="1" w:styleId="570">
    <w:name w:val="明显强调11"/>
    <w:basedOn w:val="211"/>
    <w:qFormat/>
    <w:uiPriority w:val="21"/>
    <w:rPr>
      <w:b/>
      <w:bCs/>
      <w:i/>
      <w:iCs/>
      <w:color w:val="4F81BD" w:themeColor="accent1"/>
    </w:rPr>
  </w:style>
  <w:style w:type="paragraph" w:customStyle="1" w:styleId="571">
    <w:name w:val="明显引用1"/>
    <w:basedOn w:val="1"/>
    <w:next w:val="1"/>
    <w:qFormat/>
    <w:uiPriority w:val="30"/>
    <w:pPr>
      <w:widowControl/>
      <w:pBdr>
        <w:bottom w:val="single" w:color="4F81BD" w:themeColor="accent1" w:sz="4" w:space="4"/>
      </w:pBdr>
      <w:spacing w:before="200" w:after="280" w:line="240" w:lineRule="atLeast"/>
      <w:ind w:left="936" w:right="936"/>
      <w:contextualSpacing/>
      <w:jc w:val="left"/>
    </w:pPr>
    <w:rPr>
      <w:rFonts w:cs="Times New Roman"/>
      <w:b/>
      <w:bCs/>
      <w:i/>
      <w:iCs/>
      <w:color w:val="4F81BD" w:themeColor="accent1"/>
      <w:kern w:val="0"/>
      <w:sz w:val="20"/>
      <w:szCs w:val="20"/>
      <w:lang w:val="en-GB" w:eastAsia="en-GB"/>
    </w:rPr>
  </w:style>
  <w:style w:type="character" w:customStyle="1" w:styleId="572">
    <w:name w:val="明显参考11"/>
    <w:basedOn w:val="211"/>
    <w:qFormat/>
    <w:uiPriority w:val="32"/>
    <w:rPr>
      <w:b/>
      <w:bCs/>
      <w:smallCaps/>
      <w:color w:val="C0504D" w:themeColor="accent2"/>
      <w:spacing w:val="5"/>
      <w:u w:val="single"/>
    </w:rPr>
  </w:style>
  <w:style w:type="paragraph" w:customStyle="1" w:styleId="573">
    <w:name w:val="无间隔1"/>
    <w:qFormat/>
    <w:uiPriority w:val="0"/>
    <w:rPr>
      <w:rFonts w:cs="Times New Roman" w:asciiTheme="minorHAnsi" w:hAnsiTheme="minorHAnsi" w:eastAsiaTheme="minorEastAsia"/>
      <w:lang w:val="en-GB" w:eastAsia="en-GB" w:bidi="ar-SA"/>
    </w:rPr>
  </w:style>
  <w:style w:type="character" w:customStyle="1" w:styleId="574">
    <w:name w:val="占位符文本1"/>
    <w:basedOn w:val="211"/>
    <w:semiHidden/>
    <w:qFormat/>
    <w:uiPriority w:val="99"/>
    <w:rPr>
      <w:color w:val="808080"/>
    </w:rPr>
  </w:style>
  <w:style w:type="paragraph" w:customStyle="1" w:styleId="575">
    <w:name w:val="引用1"/>
    <w:basedOn w:val="1"/>
    <w:next w:val="1"/>
    <w:qFormat/>
    <w:uiPriority w:val="29"/>
    <w:pPr>
      <w:widowControl/>
      <w:spacing w:line="240" w:lineRule="atLeast"/>
      <w:contextualSpacing/>
      <w:jc w:val="left"/>
    </w:pPr>
    <w:rPr>
      <w:rFonts w:cs="Times New Roman"/>
      <w:i/>
      <w:iCs/>
      <w:color w:val="000000" w:themeColor="text1"/>
      <w:kern w:val="0"/>
      <w:sz w:val="20"/>
      <w:szCs w:val="20"/>
      <w:lang w:val="en-GB" w:eastAsia="en-GB"/>
    </w:rPr>
  </w:style>
  <w:style w:type="character" w:customStyle="1" w:styleId="576">
    <w:name w:val="不明显强调11"/>
    <w:basedOn w:val="211"/>
    <w:qFormat/>
    <w:uiPriority w:val="19"/>
    <w:rPr>
      <w:i/>
      <w:iCs/>
      <w:color w:val="7E7E7E" w:themeColor="text1" w:themeTint="80"/>
    </w:rPr>
  </w:style>
  <w:style w:type="character" w:customStyle="1" w:styleId="577">
    <w:name w:val="不明显参考11"/>
    <w:basedOn w:val="211"/>
    <w:qFormat/>
    <w:uiPriority w:val="31"/>
    <w:rPr>
      <w:smallCaps/>
      <w:color w:val="C0504D" w:themeColor="accent2"/>
      <w:u w:val="single"/>
    </w:rPr>
  </w:style>
  <w:style w:type="paragraph" w:customStyle="1" w:styleId="578">
    <w:name w:val="修订11"/>
    <w:hidden/>
    <w:semiHidden/>
    <w:qFormat/>
    <w:uiPriority w:val="99"/>
    <w:rPr>
      <w:rFonts w:ascii="Calibri" w:hAnsi="Calibri" w:eastAsia="宋体" w:cs="Times New Roman"/>
      <w:sz w:val="22"/>
      <w:szCs w:val="22"/>
      <w:lang w:val="en-US" w:eastAsia="zh-CN" w:bidi="ar-SA"/>
    </w:rPr>
  </w:style>
  <w:style w:type="table" w:customStyle="1" w:styleId="579">
    <w:name w:val="浅色列表 - 强调文字颜色 26"/>
    <w:basedOn w:val="88"/>
    <w:qFormat/>
    <w:uiPriority w:val="61"/>
    <w:tblPr>
      <w:tblBorders>
        <w:top w:val="single" w:color="C30045" w:sz="8" w:space="0"/>
        <w:left w:val="single" w:color="C30045" w:sz="8" w:space="0"/>
        <w:bottom w:val="single" w:color="C30045" w:sz="8" w:space="0"/>
        <w:right w:val="single" w:color="C30045" w:sz="8" w:space="0"/>
      </w:tblBorders>
    </w:tblPr>
    <w:tblStylePr w:type="firstRow">
      <w:pPr>
        <w:spacing w:before="0" w:after="0" w:line="240" w:lineRule="auto"/>
      </w:pPr>
      <w:rPr>
        <w:b/>
        <w:bCs/>
        <w:color w:val="FFFFFF"/>
      </w:rPr>
      <w:tcPr>
        <w:shd w:val="clear" w:color="auto" w:fill="C30045"/>
      </w:tcPr>
    </w:tblStylePr>
    <w:tblStylePr w:type="lastRow">
      <w:pPr>
        <w:spacing w:before="0" w:after="0" w:line="240" w:lineRule="auto"/>
      </w:pPr>
      <w:rPr>
        <w:b/>
        <w:bCs/>
      </w:rPr>
      <w:tcPr>
        <w:tcBorders>
          <w:top w:val="double" w:color="C30045" w:sz="6" w:space="0"/>
          <w:left w:val="single" w:color="C30045" w:sz="8" w:space="0"/>
          <w:bottom w:val="single" w:color="C30045" w:sz="8" w:space="0"/>
          <w:right w:val="single" w:color="C30045" w:sz="8" w:space="0"/>
        </w:tcBorders>
      </w:tcPr>
    </w:tblStylePr>
    <w:tblStylePr w:type="firstCol">
      <w:rPr>
        <w:b/>
        <w:bCs/>
      </w:rPr>
    </w:tblStylePr>
    <w:tblStylePr w:type="lastCol">
      <w:rPr>
        <w:b/>
        <w:bCs/>
      </w:rPr>
    </w:tblStylePr>
    <w:tblStylePr w:type="band1Vert">
      <w:tcPr>
        <w:tcBorders>
          <w:top w:val="single" w:color="C30045" w:sz="8" w:space="0"/>
          <w:left w:val="single" w:color="C30045" w:sz="8" w:space="0"/>
          <w:bottom w:val="single" w:color="C30045" w:sz="8" w:space="0"/>
          <w:right w:val="single" w:color="C30045" w:sz="8" w:space="0"/>
        </w:tcBorders>
      </w:tcPr>
    </w:tblStylePr>
    <w:tblStylePr w:type="band1Horz">
      <w:tcPr>
        <w:tcBorders>
          <w:top w:val="single" w:color="C30045" w:sz="8" w:space="0"/>
          <w:left w:val="single" w:color="C30045" w:sz="8" w:space="0"/>
          <w:bottom w:val="single" w:color="C30045" w:sz="8" w:space="0"/>
          <w:right w:val="single" w:color="C30045" w:sz="8" w:space="0"/>
        </w:tcBorders>
      </w:tcPr>
    </w:tblStylePr>
  </w:style>
  <w:style w:type="table" w:customStyle="1" w:styleId="580">
    <w:name w:val="浅色列表 - 强调文字颜色 222"/>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paragraph" w:customStyle="1" w:styleId="581">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2">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583">
    <w:name w:val="浅色底纹 - 强调文字颜色 41"/>
    <w:basedOn w:val="88"/>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paragraph" w:customStyle="1" w:styleId="58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table" w:customStyle="1" w:styleId="585">
    <w:name w:val="网格型13"/>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6">
    <w:name w:val="浅色列表 - 强调文字颜色 21"/>
    <w:basedOn w:val="88"/>
    <w:qFormat/>
    <w:uiPriority w:val="0"/>
    <w:tblPr>
      <w:tblBorders>
        <w:top w:val="single" w:color="ED7D31" w:sz="8" w:space="0"/>
        <w:left w:val="single" w:color="ED7D31" w:sz="8" w:space="0"/>
        <w:bottom w:val="single" w:color="ED7D31" w:sz="8" w:space="0"/>
        <w:right w:val="single" w:color="ED7D31" w:sz="8" w:space="0"/>
      </w:tblBorders>
    </w:tblPr>
    <w:tblStylePr w:type="firstRow">
      <w:pPr>
        <w:spacing w:before="0" w:after="0" w:line="240" w:lineRule="auto"/>
      </w:pPr>
      <w:rPr>
        <w:b/>
        <w:bCs/>
        <w:color w:val="FFFFFF"/>
      </w:rPr>
      <w:tcPr>
        <w:shd w:val="clear" w:color="auto" w:fill="ED7D31"/>
      </w:tcPr>
    </w:tblStylePr>
    <w:tblStylePr w:type="lastRow">
      <w:pPr>
        <w:spacing w:before="0" w:after="0" w:line="240" w:lineRule="auto"/>
      </w:pPr>
      <w:rPr>
        <w:b/>
        <w:bCs/>
      </w:rPr>
      <w:tcPr>
        <w:tcBorders>
          <w:top w:val="double" w:color="ED7D31" w:sz="6" w:space="0"/>
          <w:left w:val="single" w:color="ED7D31" w:sz="8" w:space="0"/>
          <w:bottom w:val="single" w:color="ED7D31" w:sz="8" w:space="0"/>
          <w:right w:val="single" w:color="ED7D31" w:sz="8" w:space="0"/>
        </w:tcBorders>
      </w:tcPr>
    </w:tblStylePr>
    <w:tblStylePr w:type="firstCol">
      <w:rPr>
        <w:b/>
        <w:bCs/>
      </w:rPr>
    </w:tblStylePr>
    <w:tblStylePr w:type="lastCol">
      <w:rPr>
        <w:b/>
        <w:bCs/>
      </w:rPr>
    </w:tblStylePr>
    <w:tblStylePr w:type="band1Vert">
      <w:tcPr>
        <w:tcBorders>
          <w:top w:val="single" w:color="ED7D31" w:sz="8" w:space="0"/>
          <w:left w:val="single" w:color="ED7D31" w:sz="8" w:space="0"/>
          <w:bottom w:val="single" w:color="ED7D31" w:sz="8" w:space="0"/>
          <w:right w:val="single" w:color="ED7D31" w:sz="8" w:space="0"/>
        </w:tcBorders>
      </w:tcPr>
    </w:tblStylePr>
    <w:tblStylePr w:type="band1Horz">
      <w:tcPr>
        <w:tcBorders>
          <w:top w:val="single" w:color="ED7D31" w:sz="8" w:space="0"/>
          <w:left w:val="single" w:color="ED7D31" w:sz="8" w:space="0"/>
          <w:bottom w:val="single" w:color="ED7D31" w:sz="8" w:space="0"/>
          <w:right w:val="single" w:color="ED7D31" w:sz="8" w:space="0"/>
        </w:tcBorders>
      </w:tcPr>
    </w:tblStylePr>
  </w:style>
  <w:style w:type="table" w:customStyle="1" w:styleId="587">
    <w:name w:val="浅色列表 - 强调文字颜色 2221"/>
    <w:basedOn w:val="88"/>
    <w:qFormat/>
    <w:uiPriority w:val="0"/>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588">
    <w:name w:val="GT Table (default)12"/>
    <w:basedOn w:val="88"/>
    <w:qFormat/>
    <w:uiPriority w:val="0"/>
    <w:pPr>
      <w:spacing w:line="200" w:lineRule="atLeast"/>
    </w:pPr>
    <w:rPr>
      <w:rFonts w:ascii="Arial" w:hAnsi="Arial"/>
      <w:sz w:val="14"/>
    </w:rPr>
    <w:tblPr>
      <w:tblBorders>
        <w:insideH w:val="single" w:color="FFFFFF" w:sz="12" w:space="0"/>
        <w:insideV w:val="single" w:color="FFFFFF" w:sz="12" w:space="0"/>
      </w:tblBorders>
      <w:tblCellMar>
        <w:left w:w="130" w:type="dxa"/>
        <w:bottom w:w="28" w:type="dxa"/>
        <w:right w:w="136" w:type="dxa"/>
      </w:tblCellMar>
    </w:tblPr>
    <w:tcPr>
      <w:shd w:val="clear" w:color="auto" w:fill="EAE6DA"/>
    </w:tcPr>
    <w:tblStylePr w:type="firstRow">
      <w:pPr>
        <w:wordWrap/>
        <w:spacing w:line="200" w:lineRule="exact"/>
      </w:pPr>
      <w:rPr>
        <w:b/>
        <w:color w:val="auto"/>
        <w:sz w:val="14"/>
      </w:rPr>
      <w:tcPr>
        <w:shd w:val="clear" w:color="auto" w:fill="DAD2BD"/>
      </w:tcPr>
    </w:tblStylePr>
  </w:style>
  <w:style w:type="table" w:customStyle="1" w:styleId="589">
    <w:name w:val="浅色底纹 - 强调文字颜色 411"/>
    <w:basedOn w:val="88"/>
    <w:qFormat/>
    <w:uiPriority w:val="60"/>
    <w:rPr>
      <w:color w:val="5B8900"/>
    </w:rPr>
    <w:tblPr>
      <w:tblBorders>
        <w:top w:val="single" w:color="7AB800" w:sz="8" w:space="0"/>
        <w:bottom w:val="single" w:color="7AB800" w:sz="8" w:space="0"/>
      </w:tblBorders>
    </w:tblPr>
    <w:tblStylePr w:type="firstRow">
      <w:pPr>
        <w:spacing w:before="0" w:after="0" w:line="240" w:lineRule="auto"/>
      </w:pPr>
      <w:rPr>
        <w:b/>
        <w:bCs/>
      </w:rPr>
      <w:tcPr>
        <w:tcBorders>
          <w:top w:val="single" w:color="7AB800" w:sz="8" w:space="0"/>
          <w:left w:val="nil"/>
          <w:bottom w:val="single" w:color="7AB800" w:sz="8" w:space="0"/>
          <w:right w:val="nil"/>
          <w:insideH w:val="nil"/>
          <w:insideV w:val="nil"/>
        </w:tcBorders>
      </w:tcPr>
    </w:tblStylePr>
    <w:tblStylePr w:type="lastRow">
      <w:pPr>
        <w:spacing w:before="0" w:after="0" w:line="240" w:lineRule="auto"/>
      </w:pPr>
      <w:rPr>
        <w:b/>
        <w:bCs/>
      </w:rPr>
      <w:tcPr>
        <w:tcBorders>
          <w:top w:val="single" w:color="7AB800" w:sz="8" w:space="0"/>
          <w:left w:val="nil"/>
          <w:bottom w:val="single" w:color="7AB8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3FFAE"/>
      </w:tcPr>
    </w:tblStylePr>
    <w:tblStylePr w:type="band1Horz">
      <w:tcPr>
        <w:tcBorders>
          <w:left w:val="nil"/>
          <w:right w:val="nil"/>
          <w:insideH w:val="nil"/>
          <w:insideV w:val="nil"/>
        </w:tcBorders>
        <w:shd w:val="clear" w:color="auto" w:fill="E3FFAE"/>
      </w:tcPr>
    </w:tblStylePr>
  </w:style>
  <w:style w:type="table" w:customStyle="1" w:styleId="590">
    <w:name w:val="浅色列表 - 强调文字颜色 261"/>
    <w:basedOn w:val="88"/>
    <w:qFormat/>
    <w:uiPriority w:val="0"/>
    <w:tblPr>
      <w:tblBorders>
        <w:top w:val="single" w:color="C30045" w:sz="8" w:space="0"/>
        <w:left w:val="single" w:color="C30045" w:sz="8" w:space="0"/>
        <w:bottom w:val="single" w:color="C30045" w:sz="8" w:space="0"/>
        <w:right w:val="single" w:color="C30045" w:sz="8" w:space="0"/>
      </w:tblBorders>
    </w:tblPr>
    <w:tblStylePr w:type="firstRow">
      <w:pPr>
        <w:spacing w:before="0" w:after="0" w:line="240" w:lineRule="auto"/>
      </w:pPr>
      <w:rPr>
        <w:b/>
        <w:bCs/>
        <w:color w:val="FFFFFF"/>
      </w:rPr>
      <w:tcPr>
        <w:shd w:val="clear" w:color="auto" w:fill="C30045"/>
      </w:tcPr>
    </w:tblStylePr>
    <w:tblStylePr w:type="lastRow">
      <w:pPr>
        <w:spacing w:before="0" w:after="0" w:line="240" w:lineRule="auto"/>
      </w:pPr>
      <w:rPr>
        <w:b/>
        <w:bCs/>
      </w:rPr>
      <w:tcPr>
        <w:tcBorders>
          <w:top w:val="double" w:color="C30045" w:sz="6" w:space="0"/>
          <w:left w:val="single" w:color="C30045" w:sz="8" w:space="0"/>
          <w:bottom w:val="single" w:color="C30045" w:sz="8" w:space="0"/>
          <w:right w:val="single" w:color="C30045" w:sz="8" w:space="0"/>
        </w:tcBorders>
      </w:tcPr>
    </w:tblStylePr>
    <w:tblStylePr w:type="firstCol">
      <w:rPr>
        <w:b/>
        <w:bCs/>
      </w:rPr>
    </w:tblStylePr>
    <w:tblStylePr w:type="lastCol">
      <w:rPr>
        <w:b/>
        <w:bCs/>
      </w:rPr>
    </w:tblStylePr>
    <w:tblStylePr w:type="band1Vert">
      <w:tcPr>
        <w:tcBorders>
          <w:top w:val="single" w:color="C30045" w:sz="8" w:space="0"/>
          <w:left w:val="single" w:color="C30045" w:sz="8" w:space="0"/>
          <w:bottom w:val="single" w:color="C30045" w:sz="8" w:space="0"/>
          <w:right w:val="single" w:color="C30045" w:sz="8" w:space="0"/>
        </w:tcBorders>
      </w:tcPr>
    </w:tblStylePr>
    <w:tblStylePr w:type="band1Horz">
      <w:tcPr>
        <w:tcBorders>
          <w:top w:val="single" w:color="C30045" w:sz="8" w:space="0"/>
          <w:left w:val="single" w:color="C30045" w:sz="8" w:space="0"/>
          <w:bottom w:val="single" w:color="C30045" w:sz="8" w:space="0"/>
          <w:right w:val="single" w:color="C30045" w:sz="8" w:space="0"/>
        </w:tcBorders>
      </w:tcPr>
    </w:tblStylePr>
  </w:style>
  <w:style w:type="paragraph" w:customStyle="1" w:styleId="591">
    <w:name w:val="List Paragraph1"/>
    <w:basedOn w:val="1"/>
    <w:qFormat/>
    <w:uiPriority w:val="0"/>
    <w:pPr>
      <w:widowControl/>
      <w:spacing w:after="200" w:line="276" w:lineRule="auto"/>
      <w:ind w:firstLine="420" w:firstLineChars="200"/>
      <w:contextualSpacing/>
      <w:jc w:val="left"/>
    </w:pPr>
    <w:rPr>
      <w:rFonts w:ascii="Times New Roman" w:hAnsi="Times New Roman" w:eastAsia="宋体" w:cs="Times New Roman"/>
      <w:kern w:val="0"/>
      <w:szCs w:val="20"/>
      <w:lang w:val="en-GB" w:eastAsia="en-GB"/>
    </w:rPr>
  </w:style>
  <w:style w:type="paragraph" w:customStyle="1" w:styleId="592">
    <w:name w:val="书目2"/>
    <w:basedOn w:val="1"/>
    <w:next w:val="1"/>
    <w:unhideWhenUsed/>
    <w:qFormat/>
    <w:uiPriority w:val="37"/>
    <w:pPr>
      <w:widowControl/>
      <w:spacing w:line="240" w:lineRule="atLeast"/>
      <w:contextualSpacing/>
      <w:jc w:val="left"/>
    </w:pPr>
    <w:rPr>
      <w:rFonts w:cs="Times New Roman"/>
      <w:kern w:val="0"/>
      <w:sz w:val="20"/>
      <w:szCs w:val="20"/>
      <w:lang w:val="en-GB" w:eastAsia="en-GB"/>
    </w:rPr>
  </w:style>
  <w:style w:type="character" w:customStyle="1" w:styleId="593">
    <w:name w:val="书籍标题2"/>
    <w:basedOn w:val="211"/>
    <w:qFormat/>
    <w:uiPriority w:val="33"/>
    <w:rPr>
      <w:b/>
      <w:bCs/>
      <w:smallCaps/>
      <w:spacing w:val="5"/>
    </w:rPr>
  </w:style>
  <w:style w:type="character" w:customStyle="1" w:styleId="594">
    <w:name w:val="明显强调2"/>
    <w:basedOn w:val="211"/>
    <w:qFormat/>
    <w:uiPriority w:val="21"/>
    <w:rPr>
      <w:b/>
      <w:bCs/>
      <w:i/>
      <w:iCs/>
      <w:color w:val="4F81BD" w:themeColor="accent1"/>
    </w:rPr>
  </w:style>
  <w:style w:type="paragraph" w:customStyle="1" w:styleId="595">
    <w:name w:val="明显引用2"/>
    <w:basedOn w:val="1"/>
    <w:next w:val="1"/>
    <w:link w:val="596"/>
    <w:qFormat/>
    <w:uiPriority w:val="30"/>
    <w:pPr>
      <w:widowControl/>
      <w:pBdr>
        <w:bottom w:val="single" w:color="4F81BD" w:themeColor="accent1" w:sz="4" w:space="4"/>
      </w:pBdr>
      <w:spacing w:before="200" w:after="280" w:line="240" w:lineRule="atLeast"/>
      <w:ind w:left="936" w:right="936"/>
      <w:contextualSpacing/>
      <w:jc w:val="left"/>
    </w:pPr>
    <w:rPr>
      <w:rFonts w:cs="Times New Roman"/>
      <w:b/>
      <w:bCs/>
      <w:i/>
      <w:iCs/>
      <w:color w:val="4F81BD" w:themeColor="accent1"/>
      <w:kern w:val="0"/>
      <w:sz w:val="20"/>
      <w:szCs w:val="20"/>
      <w:lang w:val="en-GB" w:eastAsia="en-GB"/>
    </w:rPr>
  </w:style>
  <w:style w:type="character" w:customStyle="1" w:styleId="596">
    <w:name w:val="明显引用 Char1"/>
    <w:basedOn w:val="211"/>
    <w:link w:val="595"/>
    <w:qFormat/>
    <w:uiPriority w:val="30"/>
    <w:rPr>
      <w:rFonts w:cs="Times New Roman"/>
      <w:b/>
      <w:bCs/>
      <w:i/>
      <w:iCs/>
      <w:color w:val="4F81BD" w:themeColor="accent1"/>
      <w:kern w:val="0"/>
      <w:sz w:val="20"/>
      <w:szCs w:val="20"/>
      <w:lang w:val="en-GB" w:eastAsia="en-GB"/>
    </w:rPr>
  </w:style>
  <w:style w:type="character" w:customStyle="1" w:styleId="597">
    <w:name w:val="明显参考2"/>
    <w:basedOn w:val="211"/>
    <w:qFormat/>
    <w:uiPriority w:val="32"/>
    <w:rPr>
      <w:b/>
      <w:bCs/>
      <w:smallCaps/>
      <w:color w:val="C0504D" w:themeColor="accent2"/>
      <w:spacing w:val="5"/>
      <w:u w:val="single"/>
    </w:rPr>
  </w:style>
  <w:style w:type="paragraph" w:customStyle="1" w:styleId="598">
    <w:name w:val="无间隔2"/>
    <w:link w:val="654"/>
    <w:qFormat/>
    <w:uiPriority w:val="0"/>
    <w:rPr>
      <w:rFonts w:cs="Times New Roman" w:asciiTheme="minorHAnsi" w:hAnsiTheme="minorHAnsi" w:eastAsiaTheme="minorEastAsia"/>
      <w:lang w:val="en-GB" w:eastAsia="en-GB" w:bidi="ar-SA"/>
    </w:rPr>
  </w:style>
  <w:style w:type="character" w:customStyle="1" w:styleId="599">
    <w:name w:val="占位符文本2"/>
    <w:basedOn w:val="211"/>
    <w:semiHidden/>
    <w:qFormat/>
    <w:uiPriority w:val="99"/>
    <w:rPr>
      <w:color w:val="808080"/>
    </w:rPr>
  </w:style>
  <w:style w:type="paragraph" w:customStyle="1" w:styleId="600">
    <w:name w:val="引用2"/>
    <w:basedOn w:val="1"/>
    <w:next w:val="1"/>
    <w:link w:val="601"/>
    <w:qFormat/>
    <w:uiPriority w:val="29"/>
    <w:pPr>
      <w:widowControl/>
      <w:spacing w:line="240" w:lineRule="atLeast"/>
      <w:contextualSpacing/>
      <w:jc w:val="left"/>
    </w:pPr>
    <w:rPr>
      <w:rFonts w:cs="Times New Roman"/>
      <w:i/>
      <w:iCs/>
      <w:color w:val="000000" w:themeColor="text1"/>
      <w:kern w:val="0"/>
      <w:sz w:val="20"/>
      <w:szCs w:val="20"/>
      <w:lang w:val="en-GB" w:eastAsia="en-GB"/>
    </w:rPr>
  </w:style>
  <w:style w:type="character" w:customStyle="1" w:styleId="601">
    <w:name w:val="引用 Char1"/>
    <w:basedOn w:val="211"/>
    <w:link w:val="600"/>
    <w:qFormat/>
    <w:uiPriority w:val="29"/>
    <w:rPr>
      <w:rFonts w:cs="Times New Roman"/>
      <w:i/>
      <w:iCs/>
      <w:color w:val="000000" w:themeColor="text1"/>
      <w:kern w:val="0"/>
      <w:sz w:val="20"/>
      <w:szCs w:val="20"/>
      <w:lang w:val="en-GB" w:eastAsia="en-GB"/>
    </w:rPr>
  </w:style>
  <w:style w:type="character" w:customStyle="1" w:styleId="602">
    <w:name w:val="不明显强调2"/>
    <w:basedOn w:val="211"/>
    <w:qFormat/>
    <w:uiPriority w:val="19"/>
    <w:rPr>
      <w:i/>
      <w:iCs/>
      <w:color w:val="7E7E7E" w:themeColor="text1" w:themeTint="80"/>
    </w:rPr>
  </w:style>
  <w:style w:type="character" w:customStyle="1" w:styleId="603">
    <w:name w:val="不明显参考2"/>
    <w:basedOn w:val="211"/>
    <w:qFormat/>
    <w:uiPriority w:val="31"/>
    <w:rPr>
      <w:smallCaps/>
      <w:color w:val="C0504D" w:themeColor="accent2"/>
      <w:u w:val="single"/>
    </w:rPr>
  </w:style>
  <w:style w:type="paragraph" w:customStyle="1" w:styleId="604">
    <w:name w:val="修订2"/>
    <w:hidden/>
    <w:semiHidden/>
    <w:qFormat/>
    <w:uiPriority w:val="99"/>
    <w:rPr>
      <w:rFonts w:ascii="Calibri" w:hAnsi="Calibri" w:eastAsia="宋体" w:cs="Times New Roman"/>
      <w:sz w:val="22"/>
      <w:szCs w:val="22"/>
      <w:lang w:val="en-US" w:eastAsia="zh-CN" w:bidi="ar-SA"/>
    </w:rPr>
  </w:style>
  <w:style w:type="table" w:customStyle="1" w:styleId="605">
    <w:name w:val="GT Table (default)2"/>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606">
    <w:name w:val="浅色底纹 - 强调文字颜色 311"/>
    <w:basedOn w:val="88"/>
    <w:qFormat/>
    <w:uiPriority w:val="60"/>
    <w:rPr>
      <w:color w:val="575859"/>
      <w:lang w:val="en-GB" w:eastAsia="en-GB"/>
    </w:rPr>
    <w:tblPr>
      <w:tblBorders>
        <w:top w:val="single" w:color="747678" w:sz="8" w:space="0"/>
        <w:bottom w:val="single" w:color="747678" w:sz="8" w:space="0"/>
      </w:tblBorders>
    </w:tblPr>
    <w:tblStylePr w:type="fir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la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CDCDD"/>
      </w:tcPr>
    </w:tblStylePr>
    <w:tblStylePr w:type="band1Horz">
      <w:tcPr>
        <w:tcBorders>
          <w:left w:val="nil"/>
          <w:right w:val="nil"/>
          <w:insideH w:val="nil"/>
          <w:insideV w:val="nil"/>
        </w:tcBorders>
        <w:shd w:val="clear" w:color="auto" w:fill="DCDCDD"/>
      </w:tcPr>
    </w:tblStylePr>
  </w:style>
  <w:style w:type="table" w:customStyle="1" w:styleId="607">
    <w:name w:val="GT Table (default)3"/>
    <w:basedOn w:val="88"/>
    <w:qFormat/>
    <w:uiPriority w:val="0"/>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608">
    <w:name w:val="GT Table (default)5"/>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609">
    <w:name w:val="浅色列表 - 强调文字颜色 232"/>
    <w:basedOn w:val="88"/>
    <w:qFormat/>
    <w:uiPriority w:val="61"/>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customStyle="1" w:styleId="610">
    <w:name w:val="GT Table (default)7"/>
    <w:basedOn w:val="88"/>
    <w:qFormat/>
    <w:uiPriority w:val="0"/>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611">
    <w:name w:val="浅色列表 - 强调文字颜色 114"/>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612">
    <w:name w:val="GT Table (default)6"/>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613">
    <w:name w:val="浅色底纹 - 强调文字颜色 312"/>
    <w:basedOn w:val="88"/>
    <w:qFormat/>
    <w:uiPriority w:val="60"/>
    <w:rPr>
      <w:color w:val="575859"/>
      <w:lang w:val="en-GB" w:eastAsia="en-GB"/>
    </w:rPr>
    <w:tblPr>
      <w:tblBorders>
        <w:top w:val="single" w:color="747678" w:sz="8" w:space="0"/>
        <w:bottom w:val="single" w:color="747678" w:sz="8" w:space="0"/>
      </w:tblBorders>
    </w:tblPr>
    <w:tblStylePr w:type="fir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la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CDCDD"/>
      </w:tcPr>
    </w:tblStylePr>
    <w:tblStylePr w:type="band1Horz">
      <w:tcPr>
        <w:tcBorders>
          <w:left w:val="nil"/>
          <w:right w:val="nil"/>
          <w:insideH w:val="nil"/>
          <w:insideV w:val="nil"/>
        </w:tcBorders>
        <w:shd w:val="clear" w:color="auto" w:fill="DCDCDD"/>
      </w:tcPr>
    </w:tblStylePr>
  </w:style>
  <w:style w:type="paragraph" w:customStyle="1" w:styleId="614">
    <w:name w:val="Default Text"/>
    <w:basedOn w:val="1"/>
    <w:qFormat/>
    <w:uiPriority w:val="0"/>
    <w:pPr>
      <w:widowControl/>
      <w:jc w:val="left"/>
    </w:pPr>
    <w:rPr>
      <w:rFonts w:ascii="Times New Roman" w:hAnsi="Times New Roman" w:eastAsia="宋体" w:cs="Times New Roman"/>
      <w:kern w:val="0"/>
      <w:sz w:val="24"/>
      <w:szCs w:val="20"/>
    </w:rPr>
  </w:style>
  <w:style w:type="table" w:customStyle="1" w:styleId="615">
    <w:name w:val="Light Grid11"/>
    <w:basedOn w:val="88"/>
    <w:semiHidden/>
    <w:qFormat/>
    <w:uiPriority w:val="62"/>
    <w:rPr>
      <w:lang w:val="en-GB" w:eastAsia="en-GB"/>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616">
    <w:name w:val="Light Grid - Accent 111"/>
    <w:basedOn w:val="88"/>
    <w:semiHidden/>
    <w:qFormat/>
    <w:uiPriority w:val="62"/>
    <w:rPr>
      <w:lang w:val="en-GB" w:eastAsia="en-GB"/>
    </w:rPr>
    <w:tblPr>
      <w:tblBorders>
        <w:top w:val="single" w:color="4F2D7F" w:sz="8" w:space="0"/>
        <w:left w:val="single" w:color="4F2D7F" w:sz="8" w:space="0"/>
        <w:bottom w:val="single" w:color="4F2D7F" w:sz="8" w:space="0"/>
        <w:right w:val="single" w:color="4F2D7F" w:sz="8" w:space="0"/>
        <w:insideH w:val="single" w:color="4F2D7F" w:sz="8" w:space="0"/>
        <w:insideV w:val="single" w:color="4F2D7F"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4F2D7F" w:sz="8" w:space="0"/>
          <w:left w:val="single" w:color="4F2D7F" w:sz="8" w:space="0"/>
          <w:bottom w:val="single" w:color="4F2D7F" w:sz="18" w:space="0"/>
          <w:right w:val="single" w:color="4F2D7F"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4F2D7F" w:sz="6" w:space="0"/>
          <w:left w:val="single" w:color="4F2D7F" w:sz="8" w:space="0"/>
          <w:bottom w:val="single" w:color="4F2D7F" w:sz="8" w:space="0"/>
          <w:right w:val="single" w:color="4F2D7F"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4F2D7F" w:sz="8" w:space="0"/>
          <w:left w:val="single" w:color="4F2D7F" w:sz="8" w:space="0"/>
          <w:bottom w:val="single" w:color="4F2D7F" w:sz="8" w:space="0"/>
          <w:right w:val="single" w:color="4F2D7F" w:sz="8" w:space="0"/>
        </w:tcBorders>
      </w:tcPr>
    </w:tblStylePr>
    <w:tblStylePr w:type="band1Vert">
      <w:tcPr>
        <w:tcBorders>
          <w:top w:val="single" w:color="4F2D7F" w:sz="8" w:space="0"/>
          <w:left w:val="single" w:color="4F2D7F" w:sz="8" w:space="0"/>
          <w:bottom w:val="single" w:color="4F2D7F" w:sz="8" w:space="0"/>
          <w:right w:val="single" w:color="4F2D7F" w:sz="8" w:space="0"/>
        </w:tcBorders>
        <w:shd w:val="clear" w:color="auto" w:fill="D1C1E9"/>
      </w:tcPr>
    </w:tblStylePr>
    <w:tblStylePr w:type="band1Horz">
      <w:tcPr>
        <w:tcBorders>
          <w:top w:val="single" w:color="4F2D7F" w:sz="8" w:space="0"/>
          <w:left w:val="single" w:color="4F2D7F" w:sz="8" w:space="0"/>
          <w:bottom w:val="single" w:color="4F2D7F" w:sz="8" w:space="0"/>
          <w:right w:val="single" w:color="4F2D7F" w:sz="8" w:space="0"/>
          <w:insideV w:val="single" w:sz="8" w:space="0"/>
        </w:tcBorders>
        <w:shd w:val="clear" w:color="auto" w:fill="D1C1E9"/>
      </w:tcPr>
    </w:tblStylePr>
    <w:tblStylePr w:type="band2Horz">
      <w:tcPr>
        <w:tcBorders>
          <w:top w:val="single" w:color="4F2D7F" w:sz="8" w:space="0"/>
          <w:left w:val="single" w:color="4F2D7F" w:sz="8" w:space="0"/>
          <w:bottom w:val="single" w:color="4F2D7F" w:sz="8" w:space="0"/>
          <w:right w:val="single" w:color="4F2D7F" w:sz="8" w:space="0"/>
          <w:insideV w:val="single" w:sz="8" w:space="0"/>
        </w:tcBorders>
      </w:tcPr>
    </w:tblStylePr>
  </w:style>
  <w:style w:type="table" w:customStyle="1" w:styleId="617">
    <w:name w:val="浅色网格 - 强调文字颜色 21"/>
    <w:basedOn w:val="88"/>
    <w:qFormat/>
    <w:uiPriority w:val="62"/>
    <w:rPr>
      <w:lang w:val="en-GB" w:eastAsia="en-GB"/>
    </w:rPr>
    <w:tblPr>
      <w:tblBorders>
        <w:top w:val="single" w:color="C30045" w:sz="8" w:space="0"/>
        <w:left w:val="single" w:color="C30045" w:sz="8" w:space="0"/>
        <w:bottom w:val="single" w:color="C30045" w:sz="8" w:space="0"/>
        <w:right w:val="single" w:color="C30045" w:sz="8" w:space="0"/>
        <w:insideH w:val="single" w:color="C30045" w:sz="8" w:space="0"/>
        <w:insideV w:val="single" w:color="C30045"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C30045" w:sz="8" w:space="0"/>
          <w:left w:val="single" w:color="C30045" w:sz="8" w:space="0"/>
          <w:bottom w:val="single" w:color="C30045" w:sz="18" w:space="0"/>
          <w:right w:val="single" w:color="C30045"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C30045" w:sz="6" w:space="0"/>
          <w:left w:val="single" w:color="C30045" w:sz="8" w:space="0"/>
          <w:bottom w:val="single" w:color="C30045" w:sz="8" w:space="0"/>
          <w:right w:val="single" w:color="C30045"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C30045" w:sz="8" w:space="0"/>
          <w:left w:val="single" w:color="C30045" w:sz="8" w:space="0"/>
          <w:bottom w:val="single" w:color="C30045" w:sz="8" w:space="0"/>
          <w:right w:val="single" w:color="C30045" w:sz="8" w:space="0"/>
        </w:tcBorders>
      </w:tcPr>
    </w:tblStylePr>
    <w:tblStylePr w:type="band1Vert">
      <w:tcPr>
        <w:tcBorders>
          <w:top w:val="single" w:color="C30045" w:sz="8" w:space="0"/>
          <w:left w:val="single" w:color="C30045" w:sz="8" w:space="0"/>
          <w:bottom w:val="single" w:color="C30045" w:sz="8" w:space="0"/>
          <w:right w:val="single" w:color="C30045" w:sz="8" w:space="0"/>
        </w:tcBorders>
        <w:shd w:val="clear" w:color="auto" w:fill="FFB1CC"/>
      </w:tcPr>
    </w:tblStylePr>
    <w:tblStylePr w:type="band1Horz">
      <w:tcPr>
        <w:tcBorders>
          <w:top w:val="single" w:color="C30045" w:sz="8" w:space="0"/>
          <w:left w:val="single" w:color="C30045" w:sz="8" w:space="0"/>
          <w:bottom w:val="single" w:color="C30045" w:sz="8" w:space="0"/>
          <w:right w:val="single" w:color="C30045" w:sz="8" w:space="0"/>
          <w:insideV w:val="single" w:sz="8" w:space="0"/>
        </w:tcBorders>
        <w:shd w:val="clear" w:color="auto" w:fill="FFB1CC"/>
      </w:tcPr>
    </w:tblStylePr>
    <w:tblStylePr w:type="band2Horz">
      <w:tcPr>
        <w:tcBorders>
          <w:top w:val="single" w:color="C30045" w:sz="8" w:space="0"/>
          <w:left w:val="single" w:color="C30045" w:sz="8" w:space="0"/>
          <w:bottom w:val="single" w:color="C30045" w:sz="8" w:space="0"/>
          <w:right w:val="single" w:color="C30045" w:sz="8" w:space="0"/>
          <w:insideV w:val="single" w:sz="8" w:space="0"/>
        </w:tcBorders>
      </w:tcPr>
    </w:tblStylePr>
  </w:style>
  <w:style w:type="table" w:customStyle="1" w:styleId="618">
    <w:name w:val="浅色网格 - 强调文字颜色 31"/>
    <w:basedOn w:val="88"/>
    <w:qFormat/>
    <w:uiPriority w:val="62"/>
    <w:rPr>
      <w:lang w:val="en-GB" w:eastAsia="en-GB"/>
    </w:rPr>
    <w:tblPr>
      <w:tblBorders>
        <w:top w:val="single" w:color="747678" w:sz="8" w:space="0"/>
        <w:left w:val="single" w:color="747678" w:sz="8" w:space="0"/>
        <w:bottom w:val="single" w:color="747678" w:sz="8" w:space="0"/>
        <w:right w:val="single" w:color="747678" w:sz="8" w:space="0"/>
        <w:insideH w:val="single" w:color="747678" w:sz="8" w:space="0"/>
        <w:insideV w:val="single" w:color="747678"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747678" w:sz="8" w:space="0"/>
          <w:left w:val="single" w:color="747678" w:sz="8" w:space="0"/>
          <w:bottom w:val="single" w:color="747678" w:sz="18" w:space="0"/>
          <w:right w:val="single" w:color="747678"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747678" w:sz="6" w:space="0"/>
          <w:left w:val="single" w:color="747678" w:sz="8" w:space="0"/>
          <w:bottom w:val="single" w:color="747678" w:sz="8" w:space="0"/>
          <w:right w:val="single" w:color="747678"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747678" w:sz="8" w:space="0"/>
          <w:left w:val="single" w:color="747678" w:sz="8" w:space="0"/>
          <w:bottom w:val="single" w:color="747678" w:sz="8" w:space="0"/>
          <w:right w:val="single" w:color="747678" w:sz="8" w:space="0"/>
        </w:tcBorders>
      </w:tcPr>
    </w:tblStylePr>
    <w:tblStylePr w:type="band1Vert">
      <w:tcPr>
        <w:tcBorders>
          <w:top w:val="single" w:color="747678" w:sz="8" w:space="0"/>
          <w:left w:val="single" w:color="747678" w:sz="8" w:space="0"/>
          <w:bottom w:val="single" w:color="747678" w:sz="8" w:space="0"/>
          <w:right w:val="single" w:color="747678" w:sz="8" w:space="0"/>
        </w:tcBorders>
        <w:shd w:val="clear" w:color="auto" w:fill="DCDCDD"/>
      </w:tcPr>
    </w:tblStylePr>
    <w:tblStylePr w:type="band1Horz">
      <w:tcPr>
        <w:tcBorders>
          <w:top w:val="single" w:color="747678" w:sz="8" w:space="0"/>
          <w:left w:val="single" w:color="747678" w:sz="8" w:space="0"/>
          <w:bottom w:val="single" w:color="747678" w:sz="8" w:space="0"/>
          <w:right w:val="single" w:color="747678" w:sz="8" w:space="0"/>
          <w:insideV w:val="single" w:sz="8" w:space="0"/>
        </w:tcBorders>
        <w:shd w:val="clear" w:color="auto" w:fill="DCDCDD"/>
      </w:tcPr>
    </w:tblStylePr>
    <w:tblStylePr w:type="band2Horz">
      <w:tcPr>
        <w:tcBorders>
          <w:top w:val="single" w:color="747678" w:sz="8" w:space="0"/>
          <w:left w:val="single" w:color="747678" w:sz="8" w:space="0"/>
          <w:bottom w:val="single" w:color="747678" w:sz="8" w:space="0"/>
          <w:right w:val="single" w:color="747678" w:sz="8" w:space="0"/>
          <w:insideV w:val="single" w:sz="8" w:space="0"/>
        </w:tcBorders>
      </w:tcPr>
    </w:tblStylePr>
  </w:style>
  <w:style w:type="table" w:customStyle="1" w:styleId="619">
    <w:name w:val="浅色网格 - 强调文字颜色 41"/>
    <w:basedOn w:val="88"/>
    <w:qFormat/>
    <w:uiPriority w:val="62"/>
    <w:rPr>
      <w:lang w:val="en-GB" w:eastAsia="en-GB"/>
    </w:rPr>
    <w:tblPr>
      <w:tblBorders>
        <w:top w:val="single" w:color="7AB800" w:sz="8" w:space="0"/>
        <w:left w:val="single" w:color="7AB800" w:sz="8" w:space="0"/>
        <w:bottom w:val="single" w:color="7AB800" w:sz="8" w:space="0"/>
        <w:right w:val="single" w:color="7AB800" w:sz="8" w:space="0"/>
        <w:insideH w:val="single" w:color="7AB800" w:sz="8" w:space="0"/>
        <w:insideV w:val="single" w:color="7AB8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7AB800" w:sz="8" w:space="0"/>
          <w:left w:val="single" w:color="7AB800" w:sz="8" w:space="0"/>
          <w:bottom w:val="single" w:color="7AB800" w:sz="18" w:space="0"/>
          <w:right w:val="single" w:color="7AB8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7AB800" w:sz="6" w:space="0"/>
          <w:left w:val="single" w:color="7AB800" w:sz="8" w:space="0"/>
          <w:bottom w:val="single" w:color="7AB800" w:sz="8" w:space="0"/>
          <w:right w:val="single" w:color="7AB8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7AB800" w:sz="8" w:space="0"/>
          <w:left w:val="single" w:color="7AB800" w:sz="8" w:space="0"/>
          <w:bottom w:val="single" w:color="7AB800" w:sz="8" w:space="0"/>
          <w:right w:val="single" w:color="7AB800" w:sz="8" w:space="0"/>
        </w:tcBorders>
      </w:tcPr>
    </w:tblStylePr>
    <w:tblStylePr w:type="band1Vert">
      <w:tcPr>
        <w:tcBorders>
          <w:top w:val="single" w:color="7AB800" w:sz="8" w:space="0"/>
          <w:left w:val="single" w:color="7AB800" w:sz="8" w:space="0"/>
          <w:bottom w:val="single" w:color="7AB800" w:sz="8" w:space="0"/>
          <w:right w:val="single" w:color="7AB800" w:sz="8" w:space="0"/>
        </w:tcBorders>
        <w:shd w:val="clear" w:color="auto" w:fill="E3FFAE"/>
      </w:tcPr>
    </w:tblStylePr>
    <w:tblStylePr w:type="band1Horz">
      <w:tcPr>
        <w:tcBorders>
          <w:top w:val="single" w:color="7AB800" w:sz="8" w:space="0"/>
          <w:left w:val="single" w:color="7AB800" w:sz="8" w:space="0"/>
          <w:bottom w:val="single" w:color="7AB800" w:sz="8" w:space="0"/>
          <w:right w:val="single" w:color="7AB800" w:sz="8" w:space="0"/>
          <w:insideV w:val="single" w:sz="8" w:space="0"/>
        </w:tcBorders>
        <w:shd w:val="clear" w:color="auto" w:fill="E3FFAE"/>
      </w:tcPr>
    </w:tblStylePr>
    <w:tblStylePr w:type="band2Horz">
      <w:tcPr>
        <w:tcBorders>
          <w:top w:val="single" w:color="7AB800" w:sz="8" w:space="0"/>
          <w:left w:val="single" w:color="7AB800" w:sz="8" w:space="0"/>
          <w:bottom w:val="single" w:color="7AB800" w:sz="8" w:space="0"/>
          <w:right w:val="single" w:color="7AB800" w:sz="8" w:space="0"/>
          <w:insideV w:val="single" w:sz="8" w:space="0"/>
        </w:tcBorders>
      </w:tcPr>
    </w:tblStylePr>
  </w:style>
  <w:style w:type="table" w:customStyle="1" w:styleId="620">
    <w:name w:val="浅色网格 - 强调文字颜色 51"/>
    <w:basedOn w:val="88"/>
    <w:qFormat/>
    <w:uiPriority w:val="62"/>
    <w:rPr>
      <w:lang w:val="en-GB" w:eastAsia="en-GB"/>
    </w:rPr>
    <w:tblPr>
      <w:tblBorders>
        <w:top w:val="single" w:color="FF7900" w:sz="8" w:space="0"/>
        <w:left w:val="single" w:color="FF7900" w:sz="8" w:space="0"/>
        <w:bottom w:val="single" w:color="FF7900" w:sz="8" w:space="0"/>
        <w:right w:val="single" w:color="FF7900" w:sz="8" w:space="0"/>
        <w:insideH w:val="single" w:color="FF7900" w:sz="8" w:space="0"/>
        <w:insideV w:val="single" w:color="FF79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FF7900" w:sz="8" w:space="0"/>
          <w:left w:val="single" w:color="FF7900" w:sz="8" w:space="0"/>
          <w:bottom w:val="single" w:color="FF7900" w:sz="18" w:space="0"/>
          <w:right w:val="single" w:color="FF79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FF7900" w:sz="6" w:space="0"/>
          <w:left w:val="single" w:color="FF7900" w:sz="8" w:space="0"/>
          <w:bottom w:val="single" w:color="FF7900" w:sz="8" w:space="0"/>
          <w:right w:val="single" w:color="FF79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FF7900" w:sz="8" w:space="0"/>
          <w:left w:val="single" w:color="FF7900" w:sz="8" w:space="0"/>
          <w:bottom w:val="single" w:color="FF7900" w:sz="8" w:space="0"/>
          <w:right w:val="single" w:color="FF7900" w:sz="8" w:space="0"/>
        </w:tcBorders>
      </w:tcPr>
    </w:tblStylePr>
    <w:tblStylePr w:type="band1Vert">
      <w:tcPr>
        <w:tcBorders>
          <w:top w:val="single" w:color="FF7900" w:sz="8" w:space="0"/>
          <w:left w:val="single" w:color="FF7900" w:sz="8" w:space="0"/>
          <w:bottom w:val="single" w:color="FF7900" w:sz="8" w:space="0"/>
          <w:right w:val="single" w:color="FF7900" w:sz="8" w:space="0"/>
        </w:tcBorders>
        <w:shd w:val="clear" w:color="auto" w:fill="FFDDC0"/>
      </w:tcPr>
    </w:tblStylePr>
    <w:tblStylePr w:type="band1Horz">
      <w:tcPr>
        <w:tcBorders>
          <w:top w:val="single" w:color="FF7900" w:sz="8" w:space="0"/>
          <w:left w:val="single" w:color="FF7900" w:sz="8" w:space="0"/>
          <w:bottom w:val="single" w:color="FF7900" w:sz="8" w:space="0"/>
          <w:right w:val="single" w:color="FF7900" w:sz="8" w:space="0"/>
          <w:insideV w:val="single" w:sz="8" w:space="0"/>
        </w:tcBorders>
        <w:shd w:val="clear" w:color="auto" w:fill="FFDDC0"/>
      </w:tcPr>
    </w:tblStylePr>
    <w:tblStylePr w:type="band2Horz">
      <w:tcPr>
        <w:tcBorders>
          <w:top w:val="single" w:color="FF7900" w:sz="8" w:space="0"/>
          <w:left w:val="single" w:color="FF7900" w:sz="8" w:space="0"/>
          <w:bottom w:val="single" w:color="FF7900" w:sz="8" w:space="0"/>
          <w:right w:val="single" w:color="FF7900" w:sz="8" w:space="0"/>
          <w:insideV w:val="single" w:sz="8" w:space="0"/>
        </w:tcBorders>
      </w:tcPr>
    </w:tblStylePr>
  </w:style>
  <w:style w:type="table" w:customStyle="1" w:styleId="621">
    <w:name w:val="浅色网格 - 强调文字颜色 61"/>
    <w:basedOn w:val="88"/>
    <w:qFormat/>
    <w:uiPriority w:val="62"/>
    <w:rPr>
      <w:lang w:val="en-GB" w:eastAsia="en-GB"/>
    </w:rPr>
    <w:tblPr>
      <w:tblBorders>
        <w:top w:val="single" w:color="0046AD" w:sz="8" w:space="0"/>
        <w:left w:val="single" w:color="0046AD" w:sz="8" w:space="0"/>
        <w:bottom w:val="single" w:color="0046AD" w:sz="8" w:space="0"/>
        <w:right w:val="single" w:color="0046AD" w:sz="8" w:space="0"/>
        <w:insideH w:val="single" w:color="0046AD" w:sz="8" w:space="0"/>
        <w:insideV w:val="single" w:color="0046AD"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0046AD" w:sz="8" w:space="0"/>
          <w:left w:val="single" w:color="0046AD" w:sz="8" w:space="0"/>
          <w:bottom w:val="single" w:color="0046AD" w:sz="18" w:space="0"/>
          <w:right w:val="single" w:color="0046AD"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0046AD" w:sz="6" w:space="0"/>
          <w:left w:val="single" w:color="0046AD" w:sz="8" w:space="0"/>
          <w:bottom w:val="single" w:color="0046AD" w:sz="8" w:space="0"/>
          <w:right w:val="single" w:color="0046AD"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0046AD" w:sz="8" w:space="0"/>
          <w:left w:val="single" w:color="0046AD" w:sz="8" w:space="0"/>
          <w:bottom w:val="single" w:color="0046AD" w:sz="8" w:space="0"/>
          <w:right w:val="single" w:color="0046AD" w:sz="8" w:space="0"/>
        </w:tcBorders>
      </w:tcPr>
    </w:tblStylePr>
    <w:tblStylePr w:type="band1Vert">
      <w:tcPr>
        <w:tcBorders>
          <w:top w:val="single" w:color="0046AD" w:sz="8" w:space="0"/>
          <w:left w:val="single" w:color="0046AD" w:sz="8" w:space="0"/>
          <w:bottom w:val="single" w:color="0046AD" w:sz="8" w:space="0"/>
          <w:right w:val="single" w:color="0046AD" w:sz="8" w:space="0"/>
        </w:tcBorders>
        <w:shd w:val="clear" w:color="auto" w:fill="ABCDFF"/>
      </w:tcPr>
    </w:tblStylePr>
    <w:tblStylePr w:type="band1Horz">
      <w:tcPr>
        <w:tcBorders>
          <w:top w:val="single" w:color="0046AD" w:sz="8" w:space="0"/>
          <w:left w:val="single" w:color="0046AD" w:sz="8" w:space="0"/>
          <w:bottom w:val="single" w:color="0046AD" w:sz="8" w:space="0"/>
          <w:right w:val="single" w:color="0046AD" w:sz="8" w:space="0"/>
          <w:insideV w:val="single" w:sz="8" w:space="0"/>
        </w:tcBorders>
        <w:shd w:val="clear" w:color="auto" w:fill="ABCDFF"/>
      </w:tcPr>
    </w:tblStylePr>
    <w:tblStylePr w:type="band2Horz">
      <w:tcPr>
        <w:tcBorders>
          <w:top w:val="single" w:color="0046AD" w:sz="8" w:space="0"/>
          <w:left w:val="single" w:color="0046AD" w:sz="8" w:space="0"/>
          <w:bottom w:val="single" w:color="0046AD" w:sz="8" w:space="0"/>
          <w:right w:val="single" w:color="0046AD" w:sz="8" w:space="0"/>
          <w:insideV w:val="single" w:sz="8" w:space="0"/>
        </w:tcBorders>
      </w:tcPr>
    </w:tblStylePr>
  </w:style>
  <w:style w:type="table" w:customStyle="1" w:styleId="622">
    <w:name w:val="Light List11"/>
    <w:basedOn w:val="88"/>
    <w:semiHidden/>
    <w:qFormat/>
    <w:uiPriority w:val="61"/>
    <w:rPr>
      <w:lang w:val="en-GB" w:eastAsia="en-GB"/>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3">
    <w:name w:val="Light List - Accent 111"/>
    <w:basedOn w:val="88"/>
    <w:semiHidden/>
    <w:qFormat/>
    <w:uiPriority w:val="61"/>
    <w:rPr>
      <w:lang w:val="en-GB" w:eastAsia="en-GB"/>
    </w:rPr>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624">
    <w:name w:val="浅色列表 - 强调文字颜色 31"/>
    <w:basedOn w:val="88"/>
    <w:qFormat/>
    <w:uiPriority w:val="61"/>
    <w:rPr>
      <w:lang w:val="en-GB" w:eastAsia="en-GB"/>
    </w:rPr>
    <w:tblPr>
      <w:tblBorders>
        <w:top w:val="single" w:color="747678" w:sz="8" w:space="0"/>
        <w:left w:val="single" w:color="747678" w:sz="8" w:space="0"/>
        <w:bottom w:val="single" w:color="747678" w:sz="8" w:space="0"/>
        <w:right w:val="single" w:color="747678" w:sz="8" w:space="0"/>
      </w:tblBorders>
    </w:tblPr>
    <w:tblStylePr w:type="firstRow">
      <w:pPr>
        <w:spacing w:before="0" w:after="0" w:line="240" w:lineRule="auto"/>
      </w:pPr>
      <w:rPr>
        <w:b/>
        <w:bCs/>
        <w:color w:val="FFFFFF"/>
      </w:rPr>
      <w:tcPr>
        <w:shd w:val="clear" w:color="auto" w:fill="747678"/>
      </w:tcPr>
    </w:tblStylePr>
    <w:tblStylePr w:type="lastRow">
      <w:pPr>
        <w:spacing w:before="0" w:after="0" w:line="240" w:lineRule="auto"/>
      </w:pPr>
      <w:rPr>
        <w:b/>
        <w:bCs/>
      </w:rPr>
      <w:tcPr>
        <w:tcBorders>
          <w:top w:val="double" w:color="747678" w:sz="6" w:space="0"/>
          <w:left w:val="single" w:color="747678" w:sz="8" w:space="0"/>
          <w:bottom w:val="single" w:color="747678" w:sz="8" w:space="0"/>
          <w:right w:val="single" w:color="747678" w:sz="8" w:space="0"/>
        </w:tcBorders>
      </w:tcPr>
    </w:tblStylePr>
    <w:tblStylePr w:type="firstCol">
      <w:rPr>
        <w:b/>
        <w:bCs/>
      </w:rPr>
    </w:tblStylePr>
    <w:tblStylePr w:type="lastCol">
      <w:rPr>
        <w:b/>
        <w:bCs/>
      </w:rPr>
    </w:tblStylePr>
    <w:tblStylePr w:type="band1Vert">
      <w:tcPr>
        <w:tcBorders>
          <w:top w:val="single" w:color="747678" w:sz="8" w:space="0"/>
          <w:left w:val="single" w:color="747678" w:sz="8" w:space="0"/>
          <w:bottom w:val="single" w:color="747678" w:sz="8" w:space="0"/>
          <w:right w:val="single" w:color="747678" w:sz="8" w:space="0"/>
        </w:tcBorders>
      </w:tcPr>
    </w:tblStylePr>
    <w:tblStylePr w:type="band1Horz">
      <w:tcPr>
        <w:tcBorders>
          <w:top w:val="single" w:color="747678" w:sz="8" w:space="0"/>
          <w:left w:val="single" w:color="747678" w:sz="8" w:space="0"/>
          <w:bottom w:val="single" w:color="747678" w:sz="8" w:space="0"/>
          <w:right w:val="single" w:color="747678" w:sz="8" w:space="0"/>
        </w:tcBorders>
      </w:tcPr>
    </w:tblStylePr>
  </w:style>
  <w:style w:type="table" w:customStyle="1" w:styleId="625">
    <w:name w:val="浅色列表 - 强调文字颜色 41"/>
    <w:basedOn w:val="88"/>
    <w:qFormat/>
    <w:uiPriority w:val="61"/>
    <w:rPr>
      <w:lang w:val="en-GB" w:eastAsia="en-GB"/>
    </w:rPr>
    <w:tblPr>
      <w:tblBorders>
        <w:top w:val="single" w:color="7AB800" w:sz="8" w:space="0"/>
        <w:left w:val="single" w:color="7AB800" w:sz="8" w:space="0"/>
        <w:bottom w:val="single" w:color="7AB800" w:sz="8" w:space="0"/>
        <w:right w:val="single" w:color="7AB800" w:sz="8" w:space="0"/>
      </w:tblBorders>
    </w:tblPr>
    <w:tblStylePr w:type="firstRow">
      <w:pPr>
        <w:spacing w:before="0" w:after="0" w:line="240" w:lineRule="auto"/>
      </w:pPr>
      <w:rPr>
        <w:b/>
        <w:bCs/>
        <w:color w:val="FFFFFF"/>
      </w:rPr>
      <w:tcPr>
        <w:shd w:val="clear" w:color="auto" w:fill="7AB800"/>
      </w:tcPr>
    </w:tblStylePr>
    <w:tblStylePr w:type="lastRow">
      <w:pPr>
        <w:spacing w:before="0" w:after="0" w:line="240" w:lineRule="auto"/>
      </w:pPr>
      <w:rPr>
        <w:b/>
        <w:bCs/>
      </w:rPr>
      <w:tcPr>
        <w:tcBorders>
          <w:top w:val="double" w:color="7AB800" w:sz="6" w:space="0"/>
          <w:left w:val="single" w:color="7AB800" w:sz="8" w:space="0"/>
          <w:bottom w:val="single" w:color="7AB800" w:sz="8" w:space="0"/>
          <w:right w:val="single" w:color="7AB800" w:sz="8" w:space="0"/>
        </w:tcBorders>
      </w:tcPr>
    </w:tblStylePr>
    <w:tblStylePr w:type="firstCol">
      <w:rPr>
        <w:b/>
        <w:bCs/>
      </w:rPr>
    </w:tblStylePr>
    <w:tblStylePr w:type="lastCol">
      <w:rPr>
        <w:b/>
        <w:bCs/>
      </w:rPr>
    </w:tblStylePr>
    <w:tblStylePr w:type="band1Vert">
      <w:tcPr>
        <w:tcBorders>
          <w:top w:val="single" w:color="7AB800" w:sz="8" w:space="0"/>
          <w:left w:val="single" w:color="7AB800" w:sz="8" w:space="0"/>
          <w:bottom w:val="single" w:color="7AB800" w:sz="8" w:space="0"/>
          <w:right w:val="single" w:color="7AB800" w:sz="8" w:space="0"/>
        </w:tcBorders>
      </w:tcPr>
    </w:tblStylePr>
    <w:tblStylePr w:type="band1Horz">
      <w:tcPr>
        <w:tcBorders>
          <w:top w:val="single" w:color="7AB800" w:sz="8" w:space="0"/>
          <w:left w:val="single" w:color="7AB800" w:sz="8" w:space="0"/>
          <w:bottom w:val="single" w:color="7AB800" w:sz="8" w:space="0"/>
          <w:right w:val="single" w:color="7AB800" w:sz="8" w:space="0"/>
        </w:tcBorders>
      </w:tcPr>
    </w:tblStylePr>
  </w:style>
  <w:style w:type="table" w:customStyle="1" w:styleId="626">
    <w:name w:val="浅色列表 - 强调文字颜色 51"/>
    <w:basedOn w:val="88"/>
    <w:qFormat/>
    <w:uiPriority w:val="61"/>
    <w:rPr>
      <w:lang w:val="en-GB" w:eastAsia="en-GB"/>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FFFFFF"/>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627">
    <w:name w:val="浅色列表 - 强调文字颜色 61"/>
    <w:basedOn w:val="88"/>
    <w:qFormat/>
    <w:uiPriority w:val="61"/>
    <w:rPr>
      <w:lang w:val="en-GB" w:eastAsia="en-GB"/>
    </w:rPr>
    <w:tblPr>
      <w:tblBorders>
        <w:top w:val="single" w:color="0046AD" w:sz="8" w:space="0"/>
        <w:left w:val="single" w:color="0046AD" w:sz="8" w:space="0"/>
        <w:bottom w:val="single" w:color="0046AD" w:sz="8" w:space="0"/>
        <w:right w:val="single" w:color="0046AD" w:sz="8" w:space="0"/>
      </w:tblBorders>
    </w:tblPr>
    <w:tblStylePr w:type="firstRow">
      <w:pPr>
        <w:spacing w:before="0" w:after="0" w:line="240" w:lineRule="auto"/>
      </w:pPr>
      <w:rPr>
        <w:b/>
        <w:bCs/>
        <w:color w:val="FFFFFF"/>
      </w:rPr>
      <w:tcPr>
        <w:shd w:val="clear" w:color="auto" w:fill="0046AD"/>
      </w:tcPr>
    </w:tblStylePr>
    <w:tblStylePr w:type="lastRow">
      <w:pPr>
        <w:spacing w:before="0" w:after="0" w:line="240" w:lineRule="auto"/>
      </w:pPr>
      <w:rPr>
        <w:b/>
        <w:bCs/>
      </w:rPr>
      <w:tcPr>
        <w:tcBorders>
          <w:top w:val="double" w:color="0046AD" w:sz="6" w:space="0"/>
          <w:left w:val="single" w:color="0046AD" w:sz="8" w:space="0"/>
          <w:bottom w:val="single" w:color="0046AD" w:sz="8" w:space="0"/>
          <w:right w:val="single" w:color="0046AD" w:sz="8" w:space="0"/>
        </w:tcBorders>
      </w:tcPr>
    </w:tblStylePr>
    <w:tblStylePr w:type="firstCol">
      <w:rPr>
        <w:b/>
        <w:bCs/>
      </w:rPr>
    </w:tblStylePr>
    <w:tblStylePr w:type="lastCol">
      <w:rPr>
        <w:b/>
        <w:bCs/>
      </w:rPr>
    </w:tblStylePr>
    <w:tblStylePr w:type="band1Vert">
      <w:tcPr>
        <w:tcBorders>
          <w:top w:val="single" w:color="0046AD" w:sz="8" w:space="0"/>
          <w:left w:val="single" w:color="0046AD" w:sz="8" w:space="0"/>
          <w:bottom w:val="single" w:color="0046AD" w:sz="8" w:space="0"/>
          <w:right w:val="single" w:color="0046AD" w:sz="8" w:space="0"/>
        </w:tcBorders>
      </w:tcPr>
    </w:tblStylePr>
    <w:tblStylePr w:type="band1Horz">
      <w:tcPr>
        <w:tcBorders>
          <w:top w:val="single" w:color="0046AD" w:sz="8" w:space="0"/>
          <w:left w:val="single" w:color="0046AD" w:sz="8" w:space="0"/>
          <w:bottom w:val="single" w:color="0046AD" w:sz="8" w:space="0"/>
          <w:right w:val="single" w:color="0046AD" w:sz="8" w:space="0"/>
        </w:tcBorders>
      </w:tcPr>
    </w:tblStylePr>
  </w:style>
  <w:style w:type="table" w:customStyle="1" w:styleId="628">
    <w:name w:val="Light Shading11"/>
    <w:basedOn w:val="88"/>
    <w:semiHidden/>
    <w:qFormat/>
    <w:uiPriority w:val="60"/>
    <w:rPr>
      <w:color w:val="000000"/>
      <w:lang w:val="en-GB" w:eastAsia="en-GB"/>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629">
    <w:name w:val="Light Shading - Accent 111"/>
    <w:basedOn w:val="88"/>
    <w:semiHidden/>
    <w:qFormat/>
    <w:uiPriority w:val="60"/>
    <w:rPr>
      <w:color w:val="3A215E"/>
      <w:lang w:val="en-GB" w:eastAsia="en-GB"/>
    </w:rPr>
    <w:tblPr>
      <w:tblBorders>
        <w:top w:val="single" w:color="4F2D7F" w:sz="8" w:space="0"/>
        <w:bottom w:val="single" w:color="4F2D7F" w:sz="8" w:space="0"/>
      </w:tblBorders>
    </w:tblPr>
    <w:tblStylePr w:type="firstRow">
      <w:pPr>
        <w:spacing w:before="0" w:after="0" w:line="240" w:lineRule="auto"/>
      </w:pPr>
      <w:rPr>
        <w:b/>
        <w:bCs/>
      </w:rPr>
      <w:tcPr>
        <w:tcBorders>
          <w:top w:val="single" w:color="4F2D7F" w:sz="8" w:space="0"/>
          <w:left w:val="nil"/>
          <w:bottom w:val="single" w:color="4F2D7F" w:sz="8" w:space="0"/>
          <w:right w:val="nil"/>
          <w:insideH w:val="nil"/>
          <w:insideV w:val="nil"/>
        </w:tcBorders>
      </w:tcPr>
    </w:tblStylePr>
    <w:tblStylePr w:type="lastRow">
      <w:pPr>
        <w:spacing w:before="0" w:after="0" w:line="240" w:lineRule="auto"/>
      </w:pPr>
      <w:rPr>
        <w:b/>
        <w:bCs/>
      </w:rPr>
      <w:tcPr>
        <w:tcBorders>
          <w:top w:val="single" w:color="4F2D7F" w:sz="8" w:space="0"/>
          <w:left w:val="nil"/>
          <w:bottom w:val="single" w:color="4F2D7F"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1C1E9"/>
      </w:tcPr>
    </w:tblStylePr>
    <w:tblStylePr w:type="band1Horz">
      <w:tcPr>
        <w:tcBorders>
          <w:left w:val="nil"/>
          <w:right w:val="nil"/>
          <w:insideH w:val="nil"/>
          <w:insideV w:val="nil"/>
        </w:tcBorders>
        <w:shd w:val="clear" w:color="auto" w:fill="D1C1E9"/>
      </w:tcPr>
    </w:tblStylePr>
  </w:style>
  <w:style w:type="table" w:customStyle="1" w:styleId="630">
    <w:name w:val="浅色底纹 - 强调文字颜色 21"/>
    <w:basedOn w:val="88"/>
    <w:qFormat/>
    <w:uiPriority w:val="60"/>
    <w:rPr>
      <w:color w:val="920033"/>
      <w:lang w:val="en-GB" w:eastAsia="en-GB"/>
    </w:rPr>
    <w:tblPr>
      <w:tblBorders>
        <w:top w:val="single" w:color="C30045" w:sz="8" w:space="0"/>
        <w:bottom w:val="single" w:color="C30045" w:sz="8" w:space="0"/>
      </w:tblBorders>
    </w:tblPr>
    <w:tblStylePr w:type="firstRow">
      <w:pPr>
        <w:spacing w:before="0" w:after="0" w:line="240" w:lineRule="auto"/>
      </w:pPr>
      <w:rPr>
        <w:b/>
        <w:bCs/>
      </w:rPr>
      <w:tcPr>
        <w:tcBorders>
          <w:top w:val="single" w:color="C30045" w:sz="8" w:space="0"/>
          <w:left w:val="nil"/>
          <w:bottom w:val="single" w:color="C30045" w:sz="8" w:space="0"/>
          <w:right w:val="nil"/>
          <w:insideH w:val="nil"/>
          <w:insideV w:val="nil"/>
        </w:tcBorders>
      </w:tcPr>
    </w:tblStylePr>
    <w:tblStylePr w:type="lastRow">
      <w:pPr>
        <w:spacing w:before="0" w:after="0" w:line="240" w:lineRule="auto"/>
      </w:pPr>
      <w:rPr>
        <w:b/>
        <w:bCs/>
      </w:rPr>
      <w:tcPr>
        <w:tcBorders>
          <w:top w:val="single" w:color="C30045" w:sz="8" w:space="0"/>
          <w:left w:val="nil"/>
          <w:bottom w:val="single" w:color="C3004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B1CC"/>
      </w:tcPr>
    </w:tblStylePr>
    <w:tblStylePr w:type="band1Horz">
      <w:tcPr>
        <w:tcBorders>
          <w:left w:val="nil"/>
          <w:right w:val="nil"/>
          <w:insideH w:val="nil"/>
          <w:insideV w:val="nil"/>
        </w:tcBorders>
        <w:shd w:val="clear" w:color="auto" w:fill="FFB1CC"/>
      </w:tcPr>
    </w:tblStylePr>
  </w:style>
  <w:style w:type="table" w:customStyle="1" w:styleId="631">
    <w:name w:val="浅色底纹 - 强调文字颜色 31"/>
    <w:basedOn w:val="88"/>
    <w:qFormat/>
    <w:uiPriority w:val="60"/>
    <w:rPr>
      <w:color w:val="575859"/>
      <w:lang w:val="en-GB" w:eastAsia="en-GB"/>
    </w:rPr>
    <w:tblPr>
      <w:tblBorders>
        <w:top w:val="single" w:color="747678" w:sz="8" w:space="0"/>
        <w:bottom w:val="single" w:color="747678" w:sz="8" w:space="0"/>
      </w:tblBorders>
    </w:tblPr>
    <w:tblStylePr w:type="fir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la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CDCDD"/>
      </w:tcPr>
    </w:tblStylePr>
    <w:tblStylePr w:type="band1Horz">
      <w:tcPr>
        <w:tcBorders>
          <w:left w:val="nil"/>
          <w:right w:val="nil"/>
          <w:insideH w:val="nil"/>
          <w:insideV w:val="nil"/>
        </w:tcBorders>
        <w:shd w:val="clear" w:color="auto" w:fill="DCDCDD"/>
      </w:tcPr>
    </w:tblStylePr>
  </w:style>
  <w:style w:type="table" w:customStyle="1" w:styleId="632">
    <w:name w:val="浅色底纹 - 强调文字颜色 51"/>
    <w:basedOn w:val="88"/>
    <w:qFormat/>
    <w:uiPriority w:val="60"/>
    <w:rPr>
      <w:color w:val="BF5A00"/>
      <w:lang w:val="en-GB" w:eastAsia="en-GB"/>
    </w:rPr>
    <w:tblPr>
      <w:tblBorders>
        <w:top w:val="single" w:color="FF7900" w:sz="8" w:space="0"/>
        <w:bottom w:val="single" w:color="FF7900" w:sz="8" w:space="0"/>
      </w:tblBorders>
    </w:tblPr>
    <w:tblStylePr w:type="firstRow">
      <w:pPr>
        <w:spacing w:before="0" w:after="0" w:line="240" w:lineRule="auto"/>
      </w:pPr>
      <w:rPr>
        <w:b/>
        <w:bCs/>
      </w:rPr>
      <w:tcPr>
        <w:tcBorders>
          <w:top w:val="single" w:color="FF7900" w:sz="8" w:space="0"/>
          <w:left w:val="nil"/>
          <w:bottom w:val="single" w:color="FF7900" w:sz="8" w:space="0"/>
          <w:right w:val="nil"/>
          <w:insideH w:val="nil"/>
          <w:insideV w:val="nil"/>
        </w:tcBorders>
      </w:tcPr>
    </w:tblStylePr>
    <w:tblStylePr w:type="lastRow">
      <w:pPr>
        <w:spacing w:before="0" w:after="0" w:line="240" w:lineRule="auto"/>
      </w:pPr>
      <w:rPr>
        <w:b/>
        <w:bCs/>
      </w:rPr>
      <w:tcPr>
        <w:tcBorders>
          <w:top w:val="single" w:color="FF7900" w:sz="8" w:space="0"/>
          <w:left w:val="nil"/>
          <w:bottom w:val="single" w:color="FF79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DDC0"/>
      </w:tcPr>
    </w:tblStylePr>
    <w:tblStylePr w:type="band1Horz">
      <w:tcPr>
        <w:tcBorders>
          <w:left w:val="nil"/>
          <w:right w:val="nil"/>
          <w:insideH w:val="nil"/>
          <w:insideV w:val="nil"/>
        </w:tcBorders>
        <w:shd w:val="clear" w:color="auto" w:fill="FFDDC0"/>
      </w:tcPr>
    </w:tblStylePr>
  </w:style>
  <w:style w:type="table" w:customStyle="1" w:styleId="633">
    <w:name w:val="浅色底纹 - 强调文字颜色 61"/>
    <w:basedOn w:val="88"/>
    <w:qFormat/>
    <w:uiPriority w:val="60"/>
    <w:rPr>
      <w:color w:val="003481"/>
      <w:lang w:val="en-GB" w:eastAsia="en-GB"/>
    </w:rPr>
    <w:tblPr>
      <w:tblBorders>
        <w:top w:val="single" w:color="0046AD" w:sz="8" w:space="0"/>
        <w:bottom w:val="single" w:color="0046AD" w:sz="8" w:space="0"/>
      </w:tblBorders>
    </w:tblPr>
    <w:tblStylePr w:type="firstRow">
      <w:pPr>
        <w:spacing w:before="0" w:after="0" w:line="240" w:lineRule="auto"/>
      </w:pPr>
      <w:rPr>
        <w:b/>
        <w:bCs/>
      </w:rPr>
      <w:tcPr>
        <w:tcBorders>
          <w:top w:val="single" w:color="0046AD" w:sz="8" w:space="0"/>
          <w:left w:val="nil"/>
          <w:bottom w:val="single" w:color="0046AD" w:sz="8" w:space="0"/>
          <w:right w:val="nil"/>
          <w:insideH w:val="nil"/>
          <w:insideV w:val="nil"/>
        </w:tcBorders>
      </w:tcPr>
    </w:tblStylePr>
    <w:tblStylePr w:type="lastRow">
      <w:pPr>
        <w:spacing w:before="0" w:after="0" w:line="240" w:lineRule="auto"/>
      </w:pPr>
      <w:rPr>
        <w:b/>
        <w:bCs/>
      </w:rPr>
      <w:tcPr>
        <w:tcBorders>
          <w:top w:val="single" w:color="0046AD" w:sz="8" w:space="0"/>
          <w:left w:val="nil"/>
          <w:bottom w:val="single" w:color="0046A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ABCDFF"/>
      </w:tcPr>
    </w:tblStylePr>
    <w:tblStylePr w:type="band1Horz">
      <w:tcPr>
        <w:tcBorders>
          <w:left w:val="nil"/>
          <w:right w:val="nil"/>
          <w:insideH w:val="nil"/>
          <w:insideV w:val="nil"/>
        </w:tcBorders>
        <w:shd w:val="clear" w:color="auto" w:fill="ABCDFF"/>
      </w:tcPr>
    </w:tblStylePr>
  </w:style>
  <w:style w:type="table" w:customStyle="1" w:styleId="634">
    <w:name w:val="Medium Shading 111"/>
    <w:basedOn w:val="88"/>
    <w:semiHidden/>
    <w:qFormat/>
    <w:uiPriority w:val="63"/>
    <w:rPr>
      <w:lang w:val="en-GB" w:eastAsia="en-GB"/>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635">
    <w:name w:val="Medium Shading 1 - Accent 111"/>
    <w:basedOn w:val="88"/>
    <w:semiHidden/>
    <w:qFormat/>
    <w:uiPriority w:val="63"/>
    <w:rPr>
      <w:lang w:val="en-GB" w:eastAsia="en-GB"/>
    </w:rPr>
    <w:tblPr>
      <w:tblBorders>
        <w:top w:val="single" w:color="7543BC" w:sz="8" w:space="0"/>
        <w:left w:val="single" w:color="7543BC" w:sz="8" w:space="0"/>
        <w:bottom w:val="single" w:color="7543BC" w:sz="8" w:space="0"/>
        <w:right w:val="single" w:color="7543BC" w:sz="8" w:space="0"/>
        <w:insideH w:val="single" w:color="7543BC" w:sz="8" w:space="0"/>
      </w:tblBorders>
    </w:tblPr>
    <w:tblStylePr w:type="firstRow">
      <w:pPr>
        <w:spacing w:before="0" w:after="0" w:line="240" w:lineRule="auto"/>
      </w:pPr>
      <w:rPr>
        <w:b/>
        <w:bCs/>
        <w:color w:val="FFFFFF"/>
      </w:rPr>
      <w:tcPr>
        <w:tcBorders>
          <w:top w:val="single" w:color="7543BC" w:sz="8" w:space="0"/>
          <w:left w:val="single" w:color="7543BC" w:sz="8" w:space="0"/>
          <w:bottom w:val="single" w:color="7543BC" w:sz="8" w:space="0"/>
          <w:right w:val="single" w:color="7543BC" w:sz="8" w:space="0"/>
          <w:insideH w:val="nil"/>
          <w:insideV w:val="nil"/>
        </w:tcBorders>
        <w:shd w:val="clear" w:color="auto" w:fill="4F2D7F"/>
      </w:tcPr>
    </w:tblStylePr>
    <w:tblStylePr w:type="lastRow">
      <w:pPr>
        <w:spacing w:before="0" w:after="0" w:line="240" w:lineRule="auto"/>
      </w:pPr>
      <w:rPr>
        <w:b/>
        <w:bCs/>
      </w:rPr>
      <w:tcPr>
        <w:tcBorders>
          <w:top w:val="double" w:color="7543BC" w:sz="6" w:space="0"/>
          <w:left w:val="single" w:color="7543BC" w:sz="8" w:space="0"/>
          <w:bottom w:val="single" w:color="7543BC" w:sz="8" w:space="0"/>
          <w:right w:val="single" w:color="7543BC" w:sz="8" w:space="0"/>
          <w:insideH w:val="nil"/>
          <w:insideV w:val="nil"/>
        </w:tcBorders>
      </w:tcPr>
    </w:tblStylePr>
    <w:tblStylePr w:type="firstCol">
      <w:rPr>
        <w:b/>
        <w:bCs/>
      </w:rPr>
    </w:tblStylePr>
    <w:tblStylePr w:type="lastCol">
      <w:rPr>
        <w:b/>
        <w:bCs/>
      </w:rPr>
    </w:tblStylePr>
    <w:tblStylePr w:type="band1Vert">
      <w:tcPr>
        <w:shd w:val="clear" w:color="auto" w:fill="D1C1E9"/>
      </w:tcPr>
    </w:tblStylePr>
    <w:tblStylePr w:type="band1Horz">
      <w:tcPr>
        <w:tcBorders>
          <w:insideH w:val="nil"/>
          <w:insideV w:val="nil"/>
        </w:tcBorders>
        <w:shd w:val="clear" w:color="auto" w:fill="D1C1E9"/>
      </w:tcPr>
    </w:tblStylePr>
    <w:tblStylePr w:type="band2Horz">
      <w:tcPr>
        <w:tcBorders>
          <w:insideH w:val="nil"/>
          <w:insideV w:val="nil"/>
        </w:tcBorders>
      </w:tcPr>
    </w:tblStylePr>
  </w:style>
  <w:style w:type="table" w:customStyle="1" w:styleId="636">
    <w:name w:val="中等深浅底纹 1 - 强调文字颜色 21"/>
    <w:basedOn w:val="88"/>
    <w:qFormat/>
    <w:uiPriority w:val="63"/>
    <w:rPr>
      <w:lang w:val="en-GB" w:eastAsia="en-GB"/>
    </w:rPr>
    <w:tblPr>
      <w:tblBorders>
        <w:top w:val="single" w:color="FF1366" w:sz="8" w:space="0"/>
        <w:left w:val="single" w:color="FF1366" w:sz="8" w:space="0"/>
        <w:bottom w:val="single" w:color="FF1366" w:sz="8" w:space="0"/>
        <w:right w:val="single" w:color="FF1366" w:sz="8" w:space="0"/>
        <w:insideH w:val="single" w:color="FF1366" w:sz="8" w:space="0"/>
      </w:tblBorders>
    </w:tblPr>
    <w:tblStylePr w:type="firstRow">
      <w:pPr>
        <w:spacing w:before="0" w:after="0" w:line="240" w:lineRule="auto"/>
      </w:pPr>
      <w:rPr>
        <w:b/>
        <w:bCs/>
        <w:color w:val="FFFFFF"/>
      </w:rPr>
      <w:tcPr>
        <w:tcBorders>
          <w:top w:val="single" w:color="FF1366" w:sz="8" w:space="0"/>
          <w:left w:val="single" w:color="FF1366" w:sz="8" w:space="0"/>
          <w:bottom w:val="single" w:color="FF1366" w:sz="8" w:space="0"/>
          <w:right w:val="single" w:color="FF1366" w:sz="8" w:space="0"/>
          <w:insideH w:val="nil"/>
          <w:insideV w:val="nil"/>
        </w:tcBorders>
        <w:shd w:val="clear" w:color="auto" w:fill="C30045"/>
      </w:tcPr>
    </w:tblStylePr>
    <w:tblStylePr w:type="lastRow">
      <w:pPr>
        <w:spacing w:before="0" w:after="0" w:line="240" w:lineRule="auto"/>
      </w:pPr>
      <w:rPr>
        <w:b/>
        <w:bCs/>
      </w:rPr>
      <w:tcPr>
        <w:tcBorders>
          <w:top w:val="double" w:color="FF1366" w:sz="6" w:space="0"/>
          <w:left w:val="single" w:color="FF1366" w:sz="8" w:space="0"/>
          <w:bottom w:val="single" w:color="FF1366" w:sz="8" w:space="0"/>
          <w:right w:val="single" w:color="FF1366" w:sz="8" w:space="0"/>
          <w:insideH w:val="nil"/>
          <w:insideV w:val="nil"/>
        </w:tcBorders>
      </w:tcPr>
    </w:tblStylePr>
    <w:tblStylePr w:type="firstCol">
      <w:rPr>
        <w:b/>
        <w:bCs/>
      </w:rPr>
    </w:tblStylePr>
    <w:tblStylePr w:type="lastCol">
      <w:rPr>
        <w:b/>
        <w:bCs/>
      </w:rPr>
    </w:tblStylePr>
    <w:tblStylePr w:type="band1Vert">
      <w:tcPr>
        <w:shd w:val="clear" w:color="auto" w:fill="FFB1CC"/>
      </w:tcPr>
    </w:tblStylePr>
    <w:tblStylePr w:type="band1Horz">
      <w:tcPr>
        <w:tcBorders>
          <w:insideH w:val="nil"/>
          <w:insideV w:val="nil"/>
        </w:tcBorders>
        <w:shd w:val="clear" w:color="auto" w:fill="FFB1CC"/>
      </w:tcPr>
    </w:tblStylePr>
    <w:tblStylePr w:type="band2Horz">
      <w:tcPr>
        <w:tcBorders>
          <w:insideH w:val="nil"/>
          <w:insideV w:val="nil"/>
        </w:tcBorders>
      </w:tcPr>
    </w:tblStylePr>
  </w:style>
  <w:style w:type="table" w:customStyle="1" w:styleId="637">
    <w:name w:val="中等深浅底纹 1 - 强调文字颜色 31"/>
    <w:basedOn w:val="88"/>
    <w:qFormat/>
    <w:uiPriority w:val="63"/>
    <w:rPr>
      <w:lang w:val="en-GB" w:eastAsia="en-GB"/>
    </w:rPr>
    <w:tblPr>
      <w:tblBorders>
        <w:top w:val="single" w:color="96989A" w:sz="8" w:space="0"/>
        <w:left w:val="single" w:color="96989A" w:sz="8" w:space="0"/>
        <w:bottom w:val="single" w:color="96989A" w:sz="8" w:space="0"/>
        <w:right w:val="single" w:color="96989A" w:sz="8" w:space="0"/>
        <w:insideH w:val="single" w:color="96989A" w:sz="8" w:space="0"/>
      </w:tblBorders>
    </w:tblPr>
    <w:tblStylePr w:type="firstRow">
      <w:pPr>
        <w:spacing w:before="0" w:after="0" w:line="240" w:lineRule="auto"/>
      </w:pPr>
      <w:rPr>
        <w:b/>
        <w:bCs/>
        <w:color w:val="FFFFFF"/>
      </w:rPr>
      <w:tcPr>
        <w:tcBorders>
          <w:top w:val="single" w:color="96989A" w:sz="8" w:space="0"/>
          <w:left w:val="single" w:color="96989A" w:sz="8" w:space="0"/>
          <w:bottom w:val="single" w:color="96989A" w:sz="8" w:space="0"/>
          <w:right w:val="single" w:color="96989A" w:sz="8" w:space="0"/>
          <w:insideH w:val="nil"/>
          <w:insideV w:val="nil"/>
        </w:tcBorders>
        <w:shd w:val="clear" w:color="auto" w:fill="747678"/>
      </w:tcPr>
    </w:tblStylePr>
    <w:tblStylePr w:type="lastRow">
      <w:pPr>
        <w:spacing w:before="0" w:after="0" w:line="240" w:lineRule="auto"/>
      </w:pPr>
      <w:rPr>
        <w:b/>
        <w:bCs/>
      </w:rPr>
      <w:tcPr>
        <w:tcBorders>
          <w:top w:val="double" w:color="96989A" w:sz="6" w:space="0"/>
          <w:left w:val="single" w:color="96989A" w:sz="8" w:space="0"/>
          <w:bottom w:val="single" w:color="96989A" w:sz="8" w:space="0"/>
          <w:right w:val="single" w:color="96989A" w:sz="8" w:space="0"/>
          <w:insideH w:val="nil"/>
          <w:insideV w:val="nil"/>
        </w:tcBorders>
      </w:tcPr>
    </w:tblStylePr>
    <w:tblStylePr w:type="firstCol">
      <w:rPr>
        <w:b/>
        <w:bCs/>
      </w:rPr>
    </w:tblStylePr>
    <w:tblStylePr w:type="lastCol">
      <w:rPr>
        <w:b/>
        <w:bCs/>
      </w:rPr>
    </w:tblStylePr>
    <w:tblStylePr w:type="band1Vert">
      <w:tcPr>
        <w:shd w:val="clear" w:color="auto" w:fill="DCDCDD"/>
      </w:tcPr>
    </w:tblStylePr>
    <w:tblStylePr w:type="band1Horz">
      <w:tcPr>
        <w:tcBorders>
          <w:insideH w:val="nil"/>
          <w:insideV w:val="nil"/>
        </w:tcBorders>
        <w:shd w:val="clear" w:color="auto" w:fill="DCDCDD"/>
      </w:tcPr>
    </w:tblStylePr>
    <w:tblStylePr w:type="band2Horz">
      <w:tcPr>
        <w:tcBorders>
          <w:insideH w:val="nil"/>
          <w:insideV w:val="nil"/>
        </w:tcBorders>
      </w:tcPr>
    </w:tblStylePr>
  </w:style>
  <w:style w:type="table" w:customStyle="1" w:styleId="638">
    <w:name w:val="中等深浅底纹 1 - 强调文字颜色 41"/>
    <w:basedOn w:val="88"/>
    <w:qFormat/>
    <w:uiPriority w:val="63"/>
    <w:rPr>
      <w:lang w:val="en-GB" w:eastAsia="en-GB"/>
    </w:rPr>
    <w:tblPr>
      <w:tblBorders>
        <w:top w:val="single" w:color="ACFF0A" w:sz="8" w:space="0"/>
        <w:left w:val="single" w:color="ACFF0A" w:sz="8" w:space="0"/>
        <w:bottom w:val="single" w:color="ACFF0A" w:sz="8" w:space="0"/>
        <w:right w:val="single" w:color="ACFF0A" w:sz="8" w:space="0"/>
        <w:insideH w:val="single" w:color="ACFF0A" w:sz="8" w:space="0"/>
      </w:tblBorders>
    </w:tblPr>
    <w:tblStylePr w:type="firstRow">
      <w:pPr>
        <w:spacing w:before="0" w:after="0" w:line="240" w:lineRule="auto"/>
      </w:pPr>
      <w:rPr>
        <w:b/>
        <w:bCs/>
        <w:color w:val="FFFFFF"/>
      </w:rPr>
      <w:tcPr>
        <w:tcBorders>
          <w:top w:val="single" w:color="ACFF0A" w:sz="8" w:space="0"/>
          <w:left w:val="single" w:color="ACFF0A" w:sz="8" w:space="0"/>
          <w:bottom w:val="single" w:color="ACFF0A" w:sz="8" w:space="0"/>
          <w:right w:val="single" w:color="ACFF0A" w:sz="8" w:space="0"/>
          <w:insideH w:val="nil"/>
          <w:insideV w:val="nil"/>
        </w:tcBorders>
        <w:shd w:val="clear" w:color="auto" w:fill="7AB800"/>
      </w:tcPr>
    </w:tblStylePr>
    <w:tblStylePr w:type="lastRow">
      <w:pPr>
        <w:spacing w:before="0" w:after="0" w:line="240" w:lineRule="auto"/>
      </w:pPr>
      <w:rPr>
        <w:b/>
        <w:bCs/>
      </w:rPr>
      <w:tcPr>
        <w:tcBorders>
          <w:top w:val="double" w:color="ACFF0A" w:sz="6" w:space="0"/>
          <w:left w:val="single" w:color="ACFF0A" w:sz="8" w:space="0"/>
          <w:bottom w:val="single" w:color="ACFF0A" w:sz="8" w:space="0"/>
          <w:right w:val="single" w:color="ACFF0A" w:sz="8" w:space="0"/>
          <w:insideH w:val="nil"/>
          <w:insideV w:val="nil"/>
        </w:tcBorders>
      </w:tcPr>
    </w:tblStylePr>
    <w:tblStylePr w:type="firstCol">
      <w:rPr>
        <w:b/>
        <w:bCs/>
      </w:rPr>
    </w:tblStylePr>
    <w:tblStylePr w:type="lastCol">
      <w:rPr>
        <w:b/>
        <w:bCs/>
      </w:rPr>
    </w:tblStylePr>
    <w:tblStylePr w:type="band1Vert">
      <w:tcPr>
        <w:shd w:val="clear" w:color="auto" w:fill="E3FFAE"/>
      </w:tcPr>
    </w:tblStylePr>
    <w:tblStylePr w:type="band1Horz">
      <w:tcPr>
        <w:tcBorders>
          <w:insideH w:val="nil"/>
          <w:insideV w:val="nil"/>
        </w:tcBorders>
        <w:shd w:val="clear" w:color="auto" w:fill="E3FFAE"/>
      </w:tcPr>
    </w:tblStylePr>
    <w:tblStylePr w:type="band2Horz">
      <w:tcPr>
        <w:tcBorders>
          <w:insideH w:val="nil"/>
          <w:insideV w:val="nil"/>
        </w:tcBorders>
      </w:tcPr>
    </w:tblStylePr>
  </w:style>
  <w:style w:type="table" w:customStyle="1" w:styleId="639">
    <w:name w:val="中等深浅底纹 1 - 强调文字颜色 51"/>
    <w:basedOn w:val="88"/>
    <w:qFormat/>
    <w:uiPriority w:val="63"/>
    <w:rPr>
      <w:lang w:val="en-GB" w:eastAsia="en-GB"/>
    </w:rPr>
    <w:tblPr>
      <w:tblBorders>
        <w:top w:val="single" w:color="FF9A40" w:sz="8" w:space="0"/>
        <w:left w:val="single" w:color="FF9A40" w:sz="8" w:space="0"/>
        <w:bottom w:val="single" w:color="FF9A40" w:sz="8" w:space="0"/>
        <w:right w:val="single" w:color="FF9A40" w:sz="8" w:space="0"/>
        <w:insideH w:val="single" w:color="FF9A40" w:sz="8" w:space="0"/>
      </w:tblBorders>
    </w:tblPr>
    <w:tblStylePr w:type="firstRow">
      <w:pPr>
        <w:spacing w:before="0" w:after="0" w:line="240" w:lineRule="auto"/>
      </w:pPr>
      <w:rPr>
        <w:b/>
        <w:bCs/>
        <w:color w:val="FFFFFF"/>
      </w:rPr>
      <w:tcPr>
        <w:tcBorders>
          <w:top w:val="single" w:color="FF9A40" w:sz="8" w:space="0"/>
          <w:left w:val="single" w:color="FF9A40" w:sz="8" w:space="0"/>
          <w:bottom w:val="single" w:color="FF9A40" w:sz="8" w:space="0"/>
          <w:right w:val="single" w:color="FF9A40" w:sz="8" w:space="0"/>
          <w:insideH w:val="nil"/>
          <w:insideV w:val="nil"/>
        </w:tcBorders>
        <w:shd w:val="clear" w:color="auto" w:fill="FF7900"/>
      </w:tcPr>
    </w:tblStylePr>
    <w:tblStylePr w:type="lastRow">
      <w:pPr>
        <w:spacing w:before="0" w:after="0" w:line="240" w:lineRule="auto"/>
      </w:pPr>
      <w:rPr>
        <w:b/>
        <w:bCs/>
      </w:rPr>
      <w:tcPr>
        <w:tcBorders>
          <w:top w:val="double" w:color="FF9A40" w:sz="6" w:space="0"/>
          <w:left w:val="single" w:color="FF9A40" w:sz="8" w:space="0"/>
          <w:bottom w:val="single" w:color="FF9A40" w:sz="8" w:space="0"/>
          <w:right w:val="single" w:color="FF9A40" w:sz="8" w:space="0"/>
          <w:insideH w:val="nil"/>
          <w:insideV w:val="nil"/>
        </w:tcBorders>
      </w:tcPr>
    </w:tblStylePr>
    <w:tblStylePr w:type="firstCol">
      <w:rPr>
        <w:b/>
        <w:bCs/>
      </w:rPr>
    </w:tblStylePr>
    <w:tblStylePr w:type="lastCol">
      <w:rPr>
        <w:b/>
        <w:bCs/>
      </w:rPr>
    </w:tblStylePr>
    <w:tblStylePr w:type="band1Vert">
      <w:tcPr>
        <w:shd w:val="clear" w:color="auto" w:fill="FFDDC0"/>
      </w:tcPr>
    </w:tblStylePr>
    <w:tblStylePr w:type="band1Horz">
      <w:tcPr>
        <w:tcBorders>
          <w:insideH w:val="nil"/>
          <w:insideV w:val="nil"/>
        </w:tcBorders>
        <w:shd w:val="clear" w:color="auto" w:fill="FFDDC0"/>
      </w:tcPr>
    </w:tblStylePr>
    <w:tblStylePr w:type="band2Horz">
      <w:tcPr>
        <w:tcBorders>
          <w:insideH w:val="nil"/>
          <w:insideV w:val="nil"/>
        </w:tcBorders>
      </w:tcPr>
    </w:tblStylePr>
  </w:style>
  <w:style w:type="table" w:customStyle="1" w:styleId="640">
    <w:name w:val="中等深浅底纹 1 - 强调文字颜色 61"/>
    <w:basedOn w:val="88"/>
    <w:qFormat/>
    <w:uiPriority w:val="63"/>
    <w:rPr>
      <w:lang w:val="en-GB" w:eastAsia="en-GB"/>
    </w:rPr>
    <w:tblPr>
      <w:tblBorders>
        <w:top w:val="single" w:color="0268FF" w:sz="8" w:space="0"/>
        <w:left w:val="single" w:color="0268FF" w:sz="8" w:space="0"/>
        <w:bottom w:val="single" w:color="0268FF" w:sz="8" w:space="0"/>
        <w:right w:val="single" w:color="0268FF" w:sz="8" w:space="0"/>
        <w:insideH w:val="single" w:color="0268FF" w:sz="8" w:space="0"/>
      </w:tblBorders>
    </w:tblPr>
    <w:tblStylePr w:type="firstRow">
      <w:pPr>
        <w:spacing w:before="0" w:after="0" w:line="240" w:lineRule="auto"/>
      </w:pPr>
      <w:rPr>
        <w:b/>
        <w:bCs/>
        <w:color w:val="FFFFFF"/>
      </w:rPr>
      <w:tcPr>
        <w:tcBorders>
          <w:top w:val="single" w:color="0268FF" w:sz="8" w:space="0"/>
          <w:left w:val="single" w:color="0268FF" w:sz="8" w:space="0"/>
          <w:bottom w:val="single" w:color="0268FF" w:sz="8" w:space="0"/>
          <w:right w:val="single" w:color="0268FF" w:sz="8" w:space="0"/>
          <w:insideH w:val="nil"/>
          <w:insideV w:val="nil"/>
        </w:tcBorders>
        <w:shd w:val="clear" w:color="auto" w:fill="0046AD"/>
      </w:tcPr>
    </w:tblStylePr>
    <w:tblStylePr w:type="lastRow">
      <w:pPr>
        <w:spacing w:before="0" w:after="0" w:line="240" w:lineRule="auto"/>
      </w:pPr>
      <w:rPr>
        <w:b/>
        <w:bCs/>
      </w:rPr>
      <w:tcPr>
        <w:tcBorders>
          <w:top w:val="double" w:color="0268FF" w:sz="6" w:space="0"/>
          <w:left w:val="single" w:color="0268FF" w:sz="8" w:space="0"/>
          <w:bottom w:val="single" w:color="0268FF" w:sz="8" w:space="0"/>
          <w:right w:val="single" w:color="0268FF" w:sz="8" w:space="0"/>
          <w:insideH w:val="nil"/>
          <w:insideV w:val="nil"/>
        </w:tcBorders>
      </w:tcPr>
    </w:tblStylePr>
    <w:tblStylePr w:type="firstCol">
      <w:rPr>
        <w:b/>
        <w:bCs/>
      </w:rPr>
    </w:tblStylePr>
    <w:tblStylePr w:type="lastCol">
      <w:rPr>
        <w:b/>
        <w:bCs/>
      </w:rPr>
    </w:tblStylePr>
    <w:tblStylePr w:type="band1Vert">
      <w:tcPr>
        <w:shd w:val="clear" w:color="auto" w:fill="ABCDFF"/>
      </w:tcPr>
    </w:tblStylePr>
    <w:tblStylePr w:type="band1Horz">
      <w:tcPr>
        <w:tcBorders>
          <w:insideH w:val="nil"/>
          <w:insideV w:val="nil"/>
        </w:tcBorders>
        <w:shd w:val="clear" w:color="auto" w:fill="ABCDFF"/>
      </w:tcPr>
    </w:tblStylePr>
    <w:tblStylePr w:type="band2Horz">
      <w:tcPr>
        <w:tcBorders>
          <w:insideH w:val="nil"/>
          <w:insideV w:val="nil"/>
        </w:tcBorders>
      </w:tcPr>
    </w:tblStylePr>
  </w:style>
  <w:style w:type="table" w:customStyle="1" w:styleId="641">
    <w:name w:val="Medium Shading 21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2">
    <w:name w:val="Medium Shading 2 - Accent 11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2D7F"/>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2D7F"/>
      </w:tcPr>
    </w:tblStylePr>
    <w:tblStylePr w:type="lastCol">
      <w:rPr>
        <w:b/>
        <w:bCs/>
        <w:color w:val="FFFFFF"/>
      </w:rPr>
      <w:tcPr>
        <w:tcBorders>
          <w:left w:val="nil"/>
          <w:right w:val="nil"/>
          <w:insideH w:val="nil"/>
          <w:insideV w:val="nil"/>
        </w:tcBorders>
        <w:shd w:val="clear" w:color="auto" w:fill="4F2D7F"/>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3">
    <w:name w:val="中等深浅底纹 2 - 强调文字颜色 2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3004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30045"/>
      </w:tcPr>
    </w:tblStylePr>
    <w:tblStylePr w:type="lastCol">
      <w:rPr>
        <w:b/>
        <w:bCs/>
        <w:color w:val="FFFFFF"/>
      </w:rPr>
      <w:tcPr>
        <w:tcBorders>
          <w:left w:val="nil"/>
          <w:right w:val="nil"/>
          <w:insideH w:val="nil"/>
          <w:insideV w:val="nil"/>
        </w:tcBorders>
        <w:shd w:val="clear" w:color="auto" w:fill="C3004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4">
    <w:name w:val="中等深浅底纹 2 - 强调文字颜色 3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747678"/>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747678"/>
      </w:tcPr>
    </w:tblStylePr>
    <w:tblStylePr w:type="lastCol">
      <w:rPr>
        <w:b/>
        <w:bCs/>
        <w:color w:val="FFFFFF"/>
      </w:rPr>
      <w:tcPr>
        <w:tcBorders>
          <w:left w:val="nil"/>
          <w:right w:val="nil"/>
          <w:insideH w:val="nil"/>
          <w:insideV w:val="nil"/>
        </w:tcBorders>
        <w:shd w:val="clear" w:color="auto" w:fill="747678"/>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5">
    <w:name w:val="中等深浅底纹 2 - 强调文字颜色 4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7AB8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7AB800"/>
      </w:tcPr>
    </w:tblStylePr>
    <w:tblStylePr w:type="lastCol">
      <w:rPr>
        <w:b/>
        <w:bCs/>
        <w:color w:val="FFFFFF"/>
      </w:rPr>
      <w:tcPr>
        <w:tcBorders>
          <w:left w:val="nil"/>
          <w:right w:val="nil"/>
          <w:insideH w:val="nil"/>
          <w:insideV w:val="nil"/>
        </w:tcBorders>
        <w:shd w:val="clear" w:color="auto" w:fill="7AB8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6">
    <w:name w:val="中等深浅底纹 2 - 强调文字颜色 5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F79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F7900"/>
      </w:tcPr>
    </w:tblStylePr>
    <w:tblStylePr w:type="lastCol">
      <w:rPr>
        <w:b/>
        <w:bCs/>
        <w:color w:val="FFFFFF"/>
      </w:rPr>
      <w:tcPr>
        <w:tcBorders>
          <w:left w:val="nil"/>
          <w:right w:val="nil"/>
          <w:insideH w:val="nil"/>
          <w:insideV w:val="nil"/>
        </w:tcBorders>
        <w:shd w:val="clear" w:color="auto" w:fill="FF79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7">
    <w:name w:val="中等深浅底纹 2 - 强调文字颜色 6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46A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46AD"/>
      </w:tcPr>
    </w:tblStylePr>
    <w:tblStylePr w:type="lastCol">
      <w:rPr>
        <w:b/>
        <w:bCs/>
        <w:color w:val="FFFFFF"/>
      </w:rPr>
      <w:tcPr>
        <w:tcBorders>
          <w:left w:val="nil"/>
          <w:right w:val="nil"/>
          <w:insideH w:val="nil"/>
          <w:insideV w:val="nil"/>
        </w:tcBorders>
        <w:shd w:val="clear" w:color="auto" w:fill="0046A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48">
    <w:name w:val="GT Table caption1"/>
    <w:basedOn w:val="332"/>
    <w:qFormat/>
    <w:uiPriority w:val="10"/>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cPr>
        <w:shd w:val="clear" w:color="auto" w:fill="003F9C"/>
      </w:tcPr>
    </w:tblStylePr>
  </w:style>
  <w:style w:type="table" w:customStyle="1" w:styleId="649">
    <w:name w:val="浅色列表 - 强调文字颜色 111"/>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650">
    <w:name w:val="浅色列表 - 强调文字颜色 121"/>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651">
    <w:name w:val="浅色列表 - 强调文字颜色 131"/>
    <w:basedOn w:val="88"/>
    <w:qFormat/>
    <w:uiPriority w:val="61"/>
    <w:pPr>
      <w:spacing w:afterLines="100"/>
      <w:jc w:val="both"/>
    </w:pPr>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652">
    <w:name w:val="浅色列表 - 强调文字颜色 14"/>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character" w:customStyle="1" w:styleId="653">
    <w:name w:val="Plain Text Char"/>
    <w:basedOn w:val="211"/>
    <w:qFormat/>
    <w:uiPriority w:val="0"/>
    <w:rPr>
      <w:rFonts w:ascii="宋体" w:hAnsi="Courier New" w:eastAsia="宋体"/>
      <w:bCs/>
      <w:kern w:val="2"/>
      <w:sz w:val="24"/>
      <w:lang w:val="en-US" w:eastAsia="zh-CN"/>
    </w:rPr>
  </w:style>
  <w:style w:type="character" w:customStyle="1" w:styleId="654">
    <w:name w:val="无间隔 Char"/>
    <w:basedOn w:val="211"/>
    <w:link w:val="598"/>
    <w:qFormat/>
    <w:uiPriority w:val="0"/>
    <w:rPr>
      <w:rFonts w:cs="Times New Roman"/>
      <w:kern w:val="0"/>
      <w:sz w:val="20"/>
      <w:szCs w:val="20"/>
      <w:lang w:val="en-GB" w:eastAsia="en-GB"/>
    </w:rPr>
  </w:style>
  <w:style w:type="paragraph" w:customStyle="1" w:styleId="655">
    <w:name w:val="Char Char Char Char Char Char Char Char Char Char Char Char1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56">
    <w:name w:val="Char Char Char Char Char Char Char Char Char Char Char Char1 Char1"/>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character" w:customStyle="1" w:styleId="657">
    <w:name w:val="批注文字 Char1"/>
    <w:basedOn w:val="211"/>
    <w:qFormat/>
    <w:uiPriority w:val="99"/>
    <w:rPr>
      <w:sz w:val="22"/>
    </w:rPr>
  </w:style>
  <w:style w:type="paragraph" w:customStyle="1" w:styleId="658">
    <w:name w:val="dash5217-51fa-6bb5-843d"/>
    <w:basedOn w:val="1"/>
    <w:qFormat/>
    <w:uiPriority w:val="0"/>
    <w:pPr>
      <w:widowControl/>
      <w:ind w:firstLine="420"/>
    </w:pPr>
    <w:rPr>
      <w:rFonts w:ascii="Arial" w:hAnsi="Arial" w:eastAsia="宋体" w:cs="Arial"/>
      <w:kern w:val="0"/>
      <w:sz w:val="20"/>
      <w:szCs w:val="20"/>
    </w:rPr>
  </w:style>
  <w:style w:type="paragraph" w:customStyle="1" w:styleId="659">
    <w:name w:val="图表标题"/>
    <w:basedOn w:val="1"/>
    <w:qFormat/>
    <w:uiPriority w:val="0"/>
    <w:pPr>
      <w:autoSpaceDE w:val="0"/>
      <w:autoSpaceDN w:val="0"/>
      <w:adjustRightInd w:val="0"/>
      <w:snapToGrid w:val="0"/>
      <w:spacing w:before="80" w:after="40" w:line="288" w:lineRule="auto"/>
      <w:jc w:val="center"/>
    </w:pPr>
    <w:rPr>
      <w:rFonts w:ascii="Times New Roman" w:hAnsi="Times New Roman" w:eastAsia="宋体" w:cs="Times New Roman"/>
      <w:spacing w:val="10"/>
      <w:kern w:val="0"/>
      <w:sz w:val="24"/>
      <w:szCs w:val="20"/>
    </w:rPr>
  </w:style>
  <w:style w:type="paragraph" w:customStyle="1" w:styleId="660">
    <w:name w:val="标题22"/>
    <w:basedOn w:val="1"/>
    <w:qFormat/>
    <w:uiPriority w:val="0"/>
    <w:pPr>
      <w:keepNext/>
      <w:keepLines/>
      <w:spacing w:beforeLines="100" w:afterLines="100" w:line="360" w:lineRule="auto"/>
      <w:outlineLvl w:val="0"/>
    </w:pPr>
    <w:rPr>
      <w:rFonts w:ascii="宋体" w:hAnsi="宋体" w:eastAsia="宋体" w:cs="Times New Roman"/>
      <w:b/>
      <w:color w:val="000000"/>
      <w:sz w:val="24"/>
      <w:szCs w:val="24"/>
    </w:rPr>
  </w:style>
  <w:style w:type="paragraph" w:customStyle="1" w:styleId="661">
    <w:name w:val="1.1.1"/>
    <w:basedOn w:val="1"/>
    <w:qFormat/>
    <w:uiPriority w:val="0"/>
    <w:pPr>
      <w:tabs>
        <w:tab w:val="left" w:pos="851"/>
      </w:tabs>
      <w:adjustRightInd w:val="0"/>
      <w:spacing w:before="60" w:after="60" w:line="360" w:lineRule="exact"/>
      <w:ind w:left="1134" w:hanging="851"/>
      <w:textAlignment w:val="baseline"/>
    </w:pPr>
    <w:rPr>
      <w:rFonts w:ascii="Times New Roman" w:hAnsi="Times New Roman" w:eastAsia="黑体" w:cs="Times New Roman"/>
      <w:b/>
      <w:sz w:val="24"/>
      <w:szCs w:val="20"/>
    </w:rPr>
  </w:style>
  <w:style w:type="paragraph" w:customStyle="1" w:styleId="662">
    <w:name w:val="1.1.1.1"/>
    <w:basedOn w:val="1"/>
    <w:qFormat/>
    <w:uiPriority w:val="0"/>
    <w:pPr>
      <w:tabs>
        <w:tab w:val="left" w:pos="1134"/>
      </w:tabs>
      <w:adjustRightInd w:val="0"/>
      <w:spacing w:before="60" w:after="60" w:line="360" w:lineRule="atLeast"/>
      <w:ind w:left="1134" w:hanging="1134"/>
      <w:textAlignment w:val="baseline"/>
    </w:pPr>
    <w:rPr>
      <w:rFonts w:ascii="Arial" w:hAnsi="Arial" w:eastAsia="宋体" w:cs="Times New Roman"/>
      <w:kern w:val="0"/>
      <w:szCs w:val="20"/>
    </w:rPr>
  </w:style>
  <w:style w:type="paragraph" w:customStyle="1" w:styleId="663">
    <w:name w:val="ml"/>
    <w:basedOn w:val="1"/>
    <w:qFormat/>
    <w:uiPriority w:val="0"/>
    <w:pPr>
      <w:tabs>
        <w:tab w:val="left" w:pos="0"/>
      </w:tabs>
      <w:autoSpaceDE w:val="0"/>
      <w:autoSpaceDN w:val="0"/>
      <w:adjustRightInd w:val="0"/>
      <w:spacing w:before="240" w:after="120" w:line="360" w:lineRule="atLeast"/>
      <w:jc w:val="center"/>
    </w:pPr>
    <w:rPr>
      <w:rFonts w:ascii="黑体" w:hAnsi="Times New Roman" w:eastAsia="黑体" w:cs="Times New Roman"/>
      <w:kern w:val="0"/>
      <w:sz w:val="32"/>
      <w:szCs w:val="20"/>
    </w:rPr>
  </w:style>
  <w:style w:type="paragraph" w:customStyle="1" w:styleId="664">
    <w:name w:val="Char Char Char Char Char Char Char"/>
    <w:basedOn w:val="26"/>
    <w:qFormat/>
    <w:uiPriority w:val="0"/>
    <w:pPr>
      <w:shd w:val="clear" w:color="auto" w:fill="000080"/>
      <w:adjustRightInd w:val="0"/>
      <w:snapToGrid w:val="0"/>
      <w:spacing w:beforeLines="50" w:line="360" w:lineRule="auto"/>
    </w:pPr>
    <w:rPr>
      <w:rFonts w:ascii="Tahoma" w:hAnsi="Tahoma" w:cs="Times New Roman"/>
      <w:sz w:val="24"/>
      <w:szCs w:val="24"/>
    </w:rPr>
  </w:style>
  <w:style w:type="paragraph" w:customStyle="1" w:styleId="665">
    <w:name w:val="Char2"/>
    <w:basedOn w:val="1"/>
    <w:qFormat/>
    <w:uiPriority w:val="0"/>
    <w:pPr>
      <w:widowControl/>
      <w:spacing w:before="100" w:beforeAutospacing="1" w:after="100" w:afterAutospacing="1" w:line="360" w:lineRule="auto"/>
      <w:ind w:left="360" w:firstLine="624"/>
      <w:jc w:val="left"/>
    </w:pPr>
    <w:rPr>
      <w:rFonts w:ascii="Times New Roman" w:hAnsi="Times New Roman" w:eastAsia="Times New Roman" w:cs="Times New Roman"/>
      <w:kern w:val="0"/>
      <w:sz w:val="20"/>
      <w:szCs w:val="20"/>
      <w:lang w:val="en-GB"/>
    </w:rPr>
  </w:style>
  <w:style w:type="character" w:customStyle="1" w:styleId="666">
    <w:name w:val="headline-content2"/>
    <w:basedOn w:val="211"/>
    <w:qFormat/>
    <w:uiPriority w:val="0"/>
  </w:style>
  <w:style w:type="paragraph" w:customStyle="1" w:styleId="667">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8">
    <w:name w:val="Chapter Title"/>
    <w:basedOn w:val="64"/>
    <w:qFormat/>
    <w:uiPriority w:val="0"/>
    <w:pPr>
      <w:widowControl w:val="0"/>
      <w:spacing w:before="240" w:after="60" w:line="312" w:lineRule="auto"/>
      <w:jc w:val="center"/>
      <w:outlineLvl w:val="1"/>
    </w:pPr>
    <w:rPr>
      <w:rFonts w:ascii="Cambria" w:hAnsi="Cambria" w:eastAsia="宋体" w:cs="Times New Roman"/>
      <w:b/>
      <w:kern w:val="28"/>
      <w:sz w:val="32"/>
      <w:szCs w:val="32"/>
      <w:lang w:val="en-US" w:eastAsia="zh-CN"/>
    </w:rPr>
  </w:style>
  <w:style w:type="paragraph" w:customStyle="1" w:styleId="669">
    <w:name w:val="Style4"/>
    <w:basedOn w:val="1"/>
    <w:qFormat/>
    <w:uiPriority w:val="99"/>
    <w:pPr>
      <w:widowControl/>
      <w:spacing w:afterLines="50" w:line="360" w:lineRule="exact"/>
    </w:pPr>
    <w:rPr>
      <w:rFonts w:ascii="黑体" w:hAnsi="黑体" w:eastAsia="黑体" w:cs="黑体"/>
      <w:kern w:val="0"/>
      <w:sz w:val="24"/>
      <w:szCs w:val="24"/>
      <w:lang w:val="en-AU"/>
    </w:rPr>
  </w:style>
  <w:style w:type="paragraph" w:customStyle="1" w:styleId="670">
    <w:name w:val="Contact Details"/>
    <w:qFormat/>
    <w:uiPriority w:val="0"/>
    <w:rPr>
      <w:rFonts w:ascii="Arial" w:hAnsi="Arial" w:eastAsia="宋体" w:cs="Arial"/>
      <w:sz w:val="16"/>
      <w:lang w:val="de-AT" w:eastAsia="en-US" w:bidi="ar-SA"/>
    </w:rPr>
  </w:style>
  <w:style w:type="paragraph" w:customStyle="1" w:styleId="671">
    <w:name w:val="Pa4"/>
    <w:basedOn w:val="352"/>
    <w:next w:val="352"/>
    <w:qFormat/>
    <w:uiPriority w:val="99"/>
    <w:pPr>
      <w:widowControl/>
      <w:spacing w:line="171" w:lineRule="atLeast"/>
    </w:pPr>
    <w:rPr>
      <w:rFonts w:ascii="......." w:eastAsia="......." w:cstheme="minorBidi"/>
      <w:color w:val="auto"/>
    </w:rPr>
  </w:style>
  <w:style w:type="paragraph" w:customStyle="1" w:styleId="672">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673">
    <w:name w:val="浅色列表 - 强调文字颜色 22"/>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674">
    <w:name w:val="浅色列表 - 强调文字颜色 23"/>
    <w:basedOn w:val="88"/>
    <w:qFormat/>
    <w:uiPriority w:val="61"/>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customStyle="1" w:styleId="675">
    <w:name w:val="浅色列表 - 强调文字颜色 112"/>
    <w:basedOn w:val="88"/>
    <w:qFormat/>
    <w:uiPriority w:val="61"/>
    <w:rPr>
      <w:rFonts w:ascii="Garamond" w:hAnsi="Garamond"/>
    </w:rPr>
    <w:tblPr>
      <w:tblBorders>
        <w:top w:val="single" w:color="B1059D" w:sz="8" w:space="0"/>
        <w:left w:val="single" w:color="B1059D" w:sz="8" w:space="0"/>
        <w:bottom w:val="single" w:color="B1059D" w:sz="8" w:space="0"/>
        <w:right w:val="single" w:color="B1059D" w:sz="8" w:space="0"/>
      </w:tblBorders>
    </w:tblPr>
    <w:tblStylePr w:type="firstRow">
      <w:pPr>
        <w:spacing w:before="0" w:after="0" w:line="240" w:lineRule="auto"/>
      </w:pPr>
      <w:rPr>
        <w:b/>
        <w:bCs/>
        <w:color w:val="C30045"/>
      </w:rPr>
      <w:tcPr>
        <w:shd w:val="clear" w:color="auto" w:fill="B1059D"/>
      </w:tcPr>
    </w:tblStylePr>
    <w:tblStylePr w:type="lastRow">
      <w:pPr>
        <w:spacing w:before="0" w:after="0" w:line="240" w:lineRule="auto"/>
      </w:pPr>
      <w:rPr>
        <w:b/>
        <w:bCs/>
      </w:rPr>
      <w:tcPr>
        <w:tcBorders>
          <w:top w:val="double" w:color="B1059D" w:sz="6" w:space="0"/>
          <w:left w:val="single" w:color="B1059D" w:sz="8" w:space="0"/>
          <w:bottom w:val="single" w:color="B1059D" w:sz="8" w:space="0"/>
          <w:right w:val="single" w:color="B1059D" w:sz="8" w:space="0"/>
        </w:tcBorders>
      </w:tcPr>
    </w:tblStylePr>
    <w:tblStylePr w:type="firstCol">
      <w:rPr>
        <w:b/>
        <w:bCs/>
      </w:rPr>
    </w:tblStylePr>
    <w:tblStylePr w:type="lastCol">
      <w:rPr>
        <w:b/>
        <w:bCs/>
      </w:rPr>
    </w:tblStylePr>
    <w:tblStylePr w:type="band1Vert">
      <w:tcPr>
        <w:tcBorders>
          <w:top w:val="single" w:color="B1059D" w:sz="8" w:space="0"/>
          <w:left w:val="single" w:color="B1059D" w:sz="8" w:space="0"/>
          <w:bottom w:val="single" w:color="B1059D" w:sz="8" w:space="0"/>
          <w:right w:val="single" w:color="B1059D" w:sz="8" w:space="0"/>
        </w:tcBorders>
      </w:tcPr>
    </w:tblStylePr>
    <w:tblStylePr w:type="band1Horz">
      <w:tcPr>
        <w:tcBorders>
          <w:top w:val="single" w:color="B1059D" w:sz="8" w:space="0"/>
          <w:left w:val="single" w:color="B1059D" w:sz="8" w:space="0"/>
          <w:bottom w:val="single" w:color="B1059D" w:sz="8" w:space="0"/>
          <w:right w:val="single" w:color="B1059D" w:sz="8" w:space="0"/>
        </w:tcBorders>
      </w:tcPr>
    </w:tblStylePr>
  </w:style>
  <w:style w:type="table" w:customStyle="1" w:styleId="676">
    <w:name w:val="浅色列表 - 强调文字颜色 24"/>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677">
    <w:name w:val="Light Grid12"/>
    <w:basedOn w:val="88"/>
    <w:semiHidden/>
    <w:qFormat/>
    <w:uiPriority w:val="62"/>
    <w:rPr>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678">
    <w:name w:val="Light Grid - Accent 112"/>
    <w:basedOn w:val="88"/>
    <w:semiHidden/>
    <w:uiPriority w:val="62"/>
    <w:rPr>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679">
    <w:name w:val="浅色网格 - 强调文字颜色 22"/>
    <w:basedOn w:val="88"/>
    <w:semiHidden/>
    <w:qFormat/>
    <w:uiPriority w:val="62"/>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customStyle="1" w:styleId="680">
    <w:name w:val="浅色网格 - 强调文字颜色 32"/>
    <w:basedOn w:val="88"/>
    <w:semiHidden/>
    <w:qFormat/>
    <w:uiPriority w:val="62"/>
    <w:rPr>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customStyle="1" w:styleId="681">
    <w:name w:val="浅色网格 - 强调文字颜色 42"/>
    <w:basedOn w:val="88"/>
    <w:semiHidden/>
    <w:qFormat/>
    <w:uiPriority w:val="62"/>
    <w:rPr>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customStyle="1" w:styleId="682">
    <w:name w:val="浅色网格 - 强调文字颜色 52"/>
    <w:basedOn w:val="88"/>
    <w:semiHidden/>
    <w:qFormat/>
    <w:uiPriority w:val="62"/>
    <w:rPr>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683">
    <w:name w:val="浅色网格 - 强调文字颜色 62"/>
    <w:basedOn w:val="88"/>
    <w:semiHidden/>
    <w:qFormat/>
    <w:uiPriority w:val="62"/>
    <w:rPr>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customStyle="1" w:styleId="684">
    <w:name w:val="Light List12"/>
    <w:basedOn w:val="88"/>
    <w:semiHidden/>
    <w:qFormat/>
    <w:uiPriority w:val="61"/>
    <w:rPr>
      <w:lang w:val="en-GB" w:eastAsia="en-GB"/>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685">
    <w:name w:val="Light List - Accent 112"/>
    <w:basedOn w:val="88"/>
    <w:semiHidden/>
    <w:qFormat/>
    <w:uiPriority w:val="61"/>
    <w:rPr>
      <w:lang w:val="en-GB" w:eastAsia="en-GB"/>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686">
    <w:name w:val="浅色列表 - 强调文字颜色 25"/>
    <w:basedOn w:val="88"/>
    <w:qFormat/>
    <w:uiPriority w:val="61"/>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customStyle="1" w:styleId="687">
    <w:name w:val="浅色列表 - 强调文字颜色 32"/>
    <w:basedOn w:val="88"/>
    <w:semiHidden/>
    <w:qFormat/>
    <w:uiPriority w:val="61"/>
    <w:rPr>
      <w:lang w:val="en-GB" w:eastAsia="en-GB"/>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customStyle="1" w:styleId="688">
    <w:name w:val="浅色列表 - 强调文字颜色 42"/>
    <w:basedOn w:val="88"/>
    <w:qFormat/>
    <w:uiPriority w:val="61"/>
    <w:rPr>
      <w:lang w:val="en-GB" w:eastAsia="en-GB"/>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cPr>
        <w:shd w:val="clear" w:color="auto" w:fill="8064A2" w:themeFill="accent4"/>
      </w:tcPr>
    </w:tblStylePr>
    <w:tblStylePr w:type="lastRow">
      <w:pPr>
        <w:spacing w:before="0" w:after="0" w:line="240" w:lineRule="auto"/>
      </w:pPr>
      <w:rPr>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customStyle="1" w:styleId="689">
    <w:name w:val="浅色列表 - 强调文字颜色 52"/>
    <w:basedOn w:val="88"/>
    <w:qFormat/>
    <w:uiPriority w:val="61"/>
    <w:rPr>
      <w:lang w:val="en-GB" w:eastAsia="en-GB"/>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customStyle="1" w:styleId="690">
    <w:name w:val="浅色列表 - 强调文字颜色 62"/>
    <w:basedOn w:val="88"/>
    <w:semiHidden/>
    <w:qFormat/>
    <w:uiPriority w:val="61"/>
    <w:rPr>
      <w:lang w:val="en-GB" w:eastAsia="en-GB"/>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customStyle="1" w:styleId="691">
    <w:name w:val="Light Shading12"/>
    <w:basedOn w:val="88"/>
    <w:semiHidden/>
    <w:qFormat/>
    <w:uiPriority w:val="60"/>
    <w:rPr>
      <w:color w:val="000000" w:themeColor="text1" w:themeShade="BF"/>
      <w:lang w:val="en-GB" w:eastAsia="en-GB"/>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692">
    <w:name w:val="Light Shading - Accent 112"/>
    <w:basedOn w:val="88"/>
    <w:semiHidden/>
    <w:qFormat/>
    <w:uiPriority w:val="60"/>
    <w:rPr>
      <w:color w:val="366091" w:themeColor="accent1" w:themeShade="BF"/>
      <w:lang w:val="en-GB" w:eastAsia="en-GB"/>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customStyle="1" w:styleId="693">
    <w:name w:val="浅色底纹 - 强调文字颜色 22"/>
    <w:basedOn w:val="88"/>
    <w:semiHidden/>
    <w:qFormat/>
    <w:uiPriority w:val="60"/>
    <w:rPr>
      <w:color w:val="943734" w:themeColor="accent2" w:themeShade="BF"/>
      <w:lang w:val="en-GB" w:eastAsia="en-GB"/>
    </w:rPr>
    <w:tblPr>
      <w:tblBorders>
        <w:top w:val="single" w:color="C0504D" w:themeColor="accent2" w:sz="8" w:space="0"/>
        <w:bottom w:val="single" w:color="C0504D" w:themeColor="accent2" w:sz="8" w:space="0"/>
      </w:tblBorders>
    </w:tblPr>
    <w:tblStylePr w:type="fir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3" w:themeFill="accent2" w:themeFillTint="3F"/>
      </w:tcPr>
    </w:tblStylePr>
    <w:tblStylePr w:type="band1Horz">
      <w:tcPr>
        <w:tcBorders>
          <w:left w:val="nil"/>
          <w:right w:val="nil"/>
          <w:insideH w:val="nil"/>
          <w:insideV w:val="nil"/>
        </w:tcBorders>
        <w:shd w:val="clear" w:color="auto" w:fill="EFD3D3" w:themeFill="accent2" w:themeFillTint="3F"/>
      </w:tcPr>
    </w:tblStylePr>
  </w:style>
  <w:style w:type="table" w:customStyle="1" w:styleId="694">
    <w:name w:val="浅色底纹 - 强调文字颜色 32"/>
    <w:basedOn w:val="88"/>
    <w:semiHidden/>
    <w:qFormat/>
    <w:uiPriority w:val="60"/>
    <w:rPr>
      <w:color w:val="76923C" w:themeColor="accent3" w:themeShade="BF"/>
      <w:lang w:val="en-GB" w:eastAsia="en-GB"/>
    </w:rPr>
    <w:tblPr>
      <w:tblBorders>
        <w:top w:val="single" w:color="9BBB59" w:themeColor="accent3" w:sz="8" w:space="0"/>
        <w:bottom w:val="single" w:color="9BBB59" w:themeColor="accent3" w:sz="8" w:space="0"/>
      </w:tblBorders>
    </w:tblPr>
    <w:tblStylePr w:type="fir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hemeFill="accent3" w:themeFillTint="3F"/>
      </w:tcPr>
    </w:tblStylePr>
    <w:tblStylePr w:type="band1Horz">
      <w:tcPr>
        <w:tcBorders>
          <w:left w:val="nil"/>
          <w:right w:val="nil"/>
          <w:insideH w:val="nil"/>
          <w:insideV w:val="nil"/>
        </w:tcBorders>
        <w:shd w:val="clear" w:color="auto" w:fill="E6EED5" w:themeFill="accent3" w:themeFillTint="3F"/>
      </w:tcPr>
    </w:tblStylePr>
  </w:style>
  <w:style w:type="table" w:customStyle="1" w:styleId="695">
    <w:name w:val="浅色底纹 - 强调文字颜色 42"/>
    <w:basedOn w:val="88"/>
    <w:qFormat/>
    <w:uiPriority w:val="60"/>
    <w:rPr>
      <w:color w:val="5F497A" w:themeColor="accent4" w:themeShade="BF"/>
      <w:lang w:val="en-GB" w:eastAsia="en-GB"/>
    </w:rPr>
    <w:tblPr>
      <w:tblBorders>
        <w:top w:val="single" w:color="8064A2" w:themeColor="accent4" w:sz="8" w:space="0"/>
        <w:bottom w:val="single" w:color="8064A2" w:themeColor="accent4" w:sz="8" w:space="0"/>
      </w:tblBorders>
    </w:tblPr>
    <w:tblStylePr w:type="fir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hemeFill="accent4" w:themeFillTint="3F"/>
      </w:tcPr>
    </w:tblStylePr>
    <w:tblStylePr w:type="band1Horz">
      <w:tcPr>
        <w:tcBorders>
          <w:left w:val="nil"/>
          <w:right w:val="nil"/>
          <w:insideH w:val="nil"/>
          <w:insideV w:val="nil"/>
        </w:tcBorders>
        <w:shd w:val="clear" w:color="auto" w:fill="DFD8E8" w:themeFill="accent4" w:themeFillTint="3F"/>
      </w:tcPr>
    </w:tblStylePr>
  </w:style>
  <w:style w:type="table" w:customStyle="1" w:styleId="696">
    <w:name w:val="浅色底纹 - 强调文字颜色 52"/>
    <w:basedOn w:val="88"/>
    <w:semiHidden/>
    <w:qFormat/>
    <w:uiPriority w:val="60"/>
    <w:rPr>
      <w:color w:val="31849B" w:themeColor="accent5" w:themeShade="BF"/>
      <w:lang w:val="en-GB" w:eastAsia="en-GB"/>
    </w:rPr>
    <w:tblPr>
      <w:tblBorders>
        <w:top w:val="single" w:color="4BACC6" w:themeColor="accent5" w:sz="8" w:space="0"/>
        <w:bottom w:val="single" w:color="4BACC6" w:themeColor="accent5" w:sz="8" w:space="0"/>
      </w:tblBorders>
    </w:tblPr>
    <w:tblStylePr w:type="fir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697">
    <w:name w:val="浅色底纹 - 强调文字颜色 62"/>
    <w:basedOn w:val="88"/>
    <w:semiHidden/>
    <w:qFormat/>
    <w:uiPriority w:val="60"/>
    <w:rPr>
      <w:color w:val="E36C09" w:themeColor="accent6" w:themeShade="BF"/>
      <w:lang w:val="en-GB" w:eastAsia="en-GB"/>
    </w:rPr>
    <w:tblPr>
      <w:tblBorders>
        <w:top w:val="single" w:color="F79646" w:themeColor="accent6" w:sz="8" w:space="0"/>
        <w:bottom w:val="single" w:color="F79646" w:themeColor="accent6" w:sz="8" w:space="0"/>
      </w:tblBorders>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customStyle="1" w:styleId="698">
    <w:name w:val="Medium Shading 112"/>
    <w:basedOn w:val="88"/>
    <w:semiHidden/>
    <w:qFormat/>
    <w:uiPriority w:val="63"/>
    <w:rPr>
      <w:lang w:val="en-GB" w:eastAsia="en-GB"/>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customStyle="1" w:styleId="699">
    <w:name w:val="Medium Shading 1 - Accent 112"/>
    <w:basedOn w:val="88"/>
    <w:semiHidden/>
    <w:qFormat/>
    <w:uiPriority w:val="63"/>
    <w:rPr>
      <w:lang w:val="en-GB" w:eastAsia="en-GB"/>
    </w:r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700">
    <w:name w:val="中等深浅底纹 1 - 强调文字颜色 22"/>
    <w:basedOn w:val="88"/>
    <w:semiHidden/>
    <w:qFormat/>
    <w:uiPriority w:val="63"/>
    <w:rPr>
      <w:lang w:val="en-GB" w:eastAsia="en-GB"/>
    </w:r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cPr>
        <w:shd w:val="clear" w:color="auto" w:fill="EFD3D3" w:themeFill="accent2" w:themeFillTint="3F"/>
      </w:tcPr>
    </w:tblStylePr>
    <w:tblStylePr w:type="band1Horz">
      <w:tcPr>
        <w:tcBorders>
          <w:insideH w:val="nil"/>
          <w:insideV w:val="nil"/>
        </w:tcBorders>
        <w:shd w:val="clear" w:color="auto" w:fill="EFD3D3" w:themeFill="accent2" w:themeFillTint="3F"/>
      </w:tcPr>
    </w:tblStylePr>
    <w:tblStylePr w:type="band2Horz">
      <w:tcPr>
        <w:tcBorders>
          <w:insideH w:val="nil"/>
          <w:insideV w:val="nil"/>
        </w:tcBorders>
      </w:tcPr>
    </w:tblStylePr>
  </w:style>
  <w:style w:type="table" w:customStyle="1" w:styleId="701">
    <w:name w:val="中等深浅底纹 1 - 强调文字颜色 32"/>
    <w:basedOn w:val="88"/>
    <w:semiHidden/>
    <w:qFormat/>
    <w:uiPriority w:val="63"/>
    <w:rPr>
      <w:lang w:val="en-GB" w:eastAsia="en-GB"/>
    </w:r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r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cPr>
        <w:shd w:val="clear" w:color="auto" w:fill="E6EED5" w:themeFill="accent3" w:themeFillTint="3F"/>
      </w:tcPr>
    </w:tblStylePr>
    <w:tblStylePr w:type="band1Horz">
      <w:tcPr>
        <w:tcBorders>
          <w:insideH w:val="nil"/>
          <w:insideV w:val="nil"/>
        </w:tcBorders>
        <w:shd w:val="clear" w:color="auto" w:fill="E6EED5" w:themeFill="accent3" w:themeFillTint="3F"/>
      </w:tcPr>
    </w:tblStylePr>
    <w:tblStylePr w:type="band2Horz">
      <w:tcPr>
        <w:tcBorders>
          <w:insideH w:val="nil"/>
          <w:insideV w:val="nil"/>
        </w:tcBorders>
      </w:tcPr>
    </w:tblStylePr>
  </w:style>
  <w:style w:type="table" w:customStyle="1" w:styleId="702">
    <w:name w:val="中等深浅底纹 1 - 强调文字颜色 42"/>
    <w:basedOn w:val="88"/>
    <w:semiHidden/>
    <w:qFormat/>
    <w:uiPriority w:val="63"/>
    <w:rPr>
      <w:lang w:val="en-GB" w:eastAsia="en-GB"/>
    </w:r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cPr>
        <w:shd w:val="clear" w:color="auto" w:fill="DFD8E8" w:themeFill="accent4" w:themeFillTint="3F"/>
      </w:tcPr>
    </w:tblStylePr>
    <w:tblStylePr w:type="band1Horz">
      <w:tcPr>
        <w:tcBorders>
          <w:insideH w:val="nil"/>
          <w:insideV w:val="nil"/>
        </w:tcBorders>
        <w:shd w:val="clear" w:color="auto" w:fill="DFD8E8" w:themeFill="accent4" w:themeFillTint="3F"/>
      </w:tcPr>
    </w:tblStylePr>
    <w:tblStylePr w:type="band2Horz">
      <w:tcPr>
        <w:tcBorders>
          <w:insideH w:val="nil"/>
          <w:insideV w:val="nil"/>
        </w:tcBorders>
      </w:tcPr>
    </w:tblStylePr>
  </w:style>
  <w:style w:type="table" w:customStyle="1" w:styleId="703">
    <w:name w:val="中等深浅底纹 1 - 强调文字颜色 52"/>
    <w:basedOn w:val="88"/>
    <w:semiHidden/>
    <w:qFormat/>
    <w:uiPriority w:val="63"/>
    <w:rPr>
      <w:lang w:val="en-GB" w:eastAsia="en-GB"/>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table" w:customStyle="1" w:styleId="704">
    <w:name w:val="中等深浅底纹 1 - 强调文字颜色 62"/>
    <w:basedOn w:val="88"/>
    <w:semiHidden/>
    <w:qFormat/>
    <w:uiPriority w:val="63"/>
    <w:rPr>
      <w:lang w:val="en-GB" w:eastAsia="en-GB"/>
    </w:r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cPr>
        <w:shd w:val="clear" w:color="auto" w:fill="FDE5D1" w:themeFill="accent6" w:themeFillTint="3F"/>
      </w:tcPr>
    </w:tblStylePr>
    <w:tblStylePr w:type="band1Horz">
      <w:tcPr>
        <w:tcBorders>
          <w:insideH w:val="nil"/>
          <w:insideV w:val="nil"/>
        </w:tcBorders>
        <w:shd w:val="clear" w:color="auto" w:fill="FDE5D1" w:themeFill="accent6" w:themeFillTint="3F"/>
      </w:tcPr>
    </w:tblStylePr>
    <w:tblStylePr w:type="band2Horz">
      <w:tcPr>
        <w:tcBorders>
          <w:insideH w:val="nil"/>
          <w:insideV w:val="nil"/>
        </w:tcBorders>
      </w:tcPr>
    </w:tblStylePr>
  </w:style>
  <w:style w:type="table" w:customStyle="1" w:styleId="705">
    <w:name w:val="Medium Shading 21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06">
    <w:name w:val="Medium Shading 2 - Accent 11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07">
    <w:name w:val="中等深浅底纹 2 - 强调文字颜色 2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cPr>
        <w:tcBorders>
          <w:left w:val="nil"/>
          <w:right w:val="nil"/>
          <w:insideH w:val="nil"/>
          <w:insideV w:val="nil"/>
        </w:tcBorders>
        <w:shd w:val="clear" w:color="auto" w:fill="C0504D" w:themeFill="accent2"/>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08">
    <w:name w:val="中等深浅底纹 2 - 强调文字颜色 3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cPr>
        <w:tcBorders>
          <w:left w:val="nil"/>
          <w:right w:val="nil"/>
          <w:insideH w:val="nil"/>
          <w:insideV w:val="nil"/>
        </w:tcBorders>
        <w:shd w:val="clear" w:color="auto" w:fill="9BBB59" w:themeFill="accent3"/>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09">
    <w:name w:val="中等深浅底纹 2 - 强调文字颜色 4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cPr>
        <w:tcBorders>
          <w:left w:val="nil"/>
          <w:right w:val="nil"/>
          <w:insideH w:val="nil"/>
          <w:insideV w:val="nil"/>
        </w:tcBorders>
        <w:shd w:val="clear" w:color="auto" w:fill="8064A2" w:themeFill="accent4"/>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10">
    <w:name w:val="中等深浅底纹 2 - 强调文字颜色 5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cPr>
        <w:tcBorders>
          <w:left w:val="nil"/>
          <w:right w:val="nil"/>
          <w:insideH w:val="nil"/>
          <w:insideV w:val="nil"/>
        </w:tcBorders>
        <w:shd w:val="clear" w:color="auto" w:fill="4BACC6" w:themeFill="accent5"/>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11">
    <w:name w:val="中等深浅底纹 2 - 强调文字颜色 62"/>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cPr>
        <w:tcBorders>
          <w:left w:val="nil"/>
          <w:right w:val="nil"/>
          <w:insideH w:val="nil"/>
          <w:insideV w:val="nil"/>
        </w:tcBorders>
        <w:shd w:val="clear" w:color="auto" w:fill="F79646" w:themeFill="accent6"/>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712">
    <w:name w:val="GT Table (default)4"/>
    <w:basedOn w:val="88"/>
    <w:qFormat/>
    <w:uiPriority w:val="9"/>
    <w:pPr>
      <w:spacing w:line="200" w:lineRule="atLeast"/>
    </w:pPr>
    <w:rPr>
      <w:rFonts w:ascii="Arial" w:hAnsi="Arial"/>
      <w:sz w:val="14"/>
      <w:lang w:val="en-GB" w:eastAsia="en-GB"/>
    </w:rPr>
    <w:tblPr>
      <w:tblBorders>
        <w:insideH w:val="single" w:color="FFFFFF" w:sz="12" w:space="0"/>
        <w:insideV w:val="single" w:color="FFFFFF" w:sz="12" w:space="0"/>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cPr>
        <w:shd w:val="clear" w:color="auto" w:fill="F58528" w:themeFill="accent6" w:themeFillShade="E6"/>
      </w:tcPr>
    </w:tblStylePr>
  </w:style>
  <w:style w:type="table" w:customStyle="1" w:styleId="713">
    <w:name w:val="GT Table caption2"/>
    <w:basedOn w:val="332"/>
    <w:qFormat/>
    <w:uiPriority w:val="10"/>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cPr>
        <w:shd w:val="clear" w:color="auto" w:fill="F58528" w:themeFill="accent6" w:themeFillShade="E6"/>
      </w:tcPr>
    </w:tblStylePr>
  </w:style>
  <w:style w:type="table" w:customStyle="1" w:styleId="714">
    <w:name w:val="浅色列表 - 强调文字颜色 113"/>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715">
    <w:name w:val="浅色列表 - 强调文字颜色 122"/>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716">
    <w:name w:val="浅色列表 - 强调文字颜色 132"/>
    <w:basedOn w:val="88"/>
    <w:qFormat/>
    <w:uiPriority w:val="61"/>
    <w:pPr>
      <w:spacing w:afterLines="100"/>
      <w:jc w:val="both"/>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717">
    <w:name w:val="Light Grid111"/>
    <w:basedOn w:val="88"/>
    <w:semiHidden/>
    <w:qFormat/>
    <w:uiPriority w:val="62"/>
    <w:rPr>
      <w:lang w:val="en-GB" w:eastAsia="en-GB"/>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18">
    <w:name w:val="Light Grid - Accent 1111"/>
    <w:basedOn w:val="88"/>
    <w:semiHidden/>
    <w:qFormat/>
    <w:uiPriority w:val="62"/>
    <w:rPr>
      <w:lang w:val="en-GB" w:eastAsia="en-GB"/>
    </w:rPr>
    <w:tblPr>
      <w:tblBorders>
        <w:top w:val="single" w:color="4F2D7F" w:sz="8" w:space="0"/>
        <w:left w:val="single" w:color="4F2D7F" w:sz="8" w:space="0"/>
        <w:bottom w:val="single" w:color="4F2D7F" w:sz="8" w:space="0"/>
        <w:right w:val="single" w:color="4F2D7F" w:sz="8" w:space="0"/>
        <w:insideH w:val="single" w:color="4F2D7F" w:sz="8" w:space="0"/>
        <w:insideV w:val="single" w:color="4F2D7F"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4F2D7F" w:sz="8" w:space="0"/>
          <w:left w:val="single" w:color="4F2D7F" w:sz="8" w:space="0"/>
          <w:bottom w:val="single" w:color="4F2D7F" w:sz="18" w:space="0"/>
          <w:right w:val="single" w:color="4F2D7F"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4F2D7F" w:sz="6" w:space="0"/>
          <w:left w:val="single" w:color="4F2D7F" w:sz="8" w:space="0"/>
          <w:bottom w:val="single" w:color="4F2D7F" w:sz="8" w:space="0"/>
          <w:right w:val="single" w:color="4F2D7F"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4F2D7F" w:sz="8" w:space="0"/>
          <w:left w:val="single" w:color="4F2D7F" w:sz="8" w:space="0"/>
          <w:bottom w:val="single" w:color="4F2D7F" w:sz="8" w:space="0"/>
          <w:right w:val="single" w:color="4F2D7F" w:sz="8" w:space="0"/>
        </w:tcBorders>
      </w:tcPr>
    </w:tblStylePr>
    <w:tblStylePr w:type="band1Vert">
      <w:tcPr>
        <w:tcBorders>
          <w:top w:val="single" w:color="4F2D7F" w:sz="8" w:space="0"/>
          <w:left w:val="single" w:color="4F2D7F" w:sz="8" w:space="0"/>
          <w:bottom w:val="single" w:color="4F2D7F" w:sz="8" w:space="0"/>
          <w:right w:val="single" w:color="4F2D7F" w:sz="8" w:space="0"/>
        </w:tcBorders>
        <w:shd w:val="clear" w:color="auto" w:fill="D1C1E9"/>
      </w:tcPr>
    </w:tblStylePr>
    <w:tblStylePr w:type="band1Horz">
      <w:tcPr>
        <w:tcBorders>
          <w:top w:val="single" w:color="4F2D7F" w:sz="8" w:space="0"/>
          <w:left w:val="single" w:color="4F2D7F" w:sz="8" w:space="0"/>
          <w:bottom w:val="single" w:color="4F2D7F" w:sz="8" w:space="0"/>
          <w:right w:val="single" w:color="4F2D7F" w:sz="8" w:space="0"/>
          <w:insideV w:val="single" w:sz="8" w:space="0"/>
        </w:tcBorders>
        <w:shd w:val="clear" w:color="auto" w:fill="D1C1E9"/>
      </w:tcPr>
    </w:tblStylePr>
    <w:tblStylePr w:type="band2Horz">
      <w:tcPr>
        <w:tcBorders>
          <w:top w:val="single" w:color="4F2D7F" w:sz="8" w:space="0"/>
          <w:left w:val="single" w:color="4F2D7F" w:sz="8" w:space="0"/>
          <w:bottom w:val="single" w:color="4F2D7F" w:sz="8" w:space="0"/>
          <w:right w:val="single" w:color="4F2D7F" w:sz="8" w:space="0"/>
          <w:insideV w:val="single" w:sz="8" w:space="0"/>
        </w:tcBorders>
      </w:tcPr>
    </w:tblStylePr>
  </w:style>
  <w:style w:type="table" w:customStyle="1" w:styleId="719">
    <w:name w:val="浅色网格 - 强调文字颜色 211"/>
    <w:basedOn w:val="88"/>
    <w:qFormat/>
    <w:uiPriority w:val="62"/>
    <w:rPr>
      <w:lang w:val="en-GB" w:eastAsia="en-GB"/>
    </w:rPr>
    <w:tblPr>
      <w:tblBorders>
        <w:top w:val="single" w:color="C30045" w:sz="8" w:space="0"/>
        <w:left w:val="single" w:color="C30045" w:sz="8" w:space="0"/>
        <w:bottom w:val="single" w:color="C30045" w:sz="8" w:space="0"/>
        <w:right w:val="single" w:color="C30045" w:sz="8" w:space="0"/>
        <w:insideH w:val="single" w:color="C30045" w:sz="8" w:space="0"/>
        <w:insideV w:val="single" w:color="C30045"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C30045" w:sz="8" w:space="0"/>
          <w:left w:val="single" w:color="C30045" w:sz="8" w:space="0"/>
          <w:bottom w:val="single" w:color="C30045" w:sz="18" w:space="0"/>
          <w:right w:val="single" w:color="C30045"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C30045" w:sz="6" w:space="0"/>
          <w:left w:val="single" w:color="C30045" w:sz="8" w:space="0"/>
          <w:bottom w:val="single" w:color="C30045" w:sz="8" w:space="0"/>
          <w:right w:val="single" w:color="C30045"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C30045" w:sz="8" w:space="0"/>
          <w:left w:val="single" w:color="C30045" w:sz="8" w:space="0"/>
          <w:bottom w:val="single" w:color="C30045" w:sz="8" w:space="0"/>
          <w:right w:val="single" w:color="C30045" w:sz="8" w:space="0"/>
        </w:tcBorders>
      </w:tcPr>
    </w:tblStylePr>
    <w:tblStylePr w:type="band1Vert">
      <w:tcPr>
        <w:tcBorders>
          <w:top w:val="single" w:color="C30045" w:sz="8" w:space="0"/>
          <w:left w:val="single" w:color="C30045" w:sz="8" w:space="0"/>
          <w:bottom w:val="single" w:color="C30045" w:sz="8" w:space="0"/>
          <w:right w:val="single" w:color="C30045" w:sz="8" w:space="0"/>
        </w:tcBorders>
        <w:shd w:val="clear" w:color="auto" w:fill="FFB1CC"/>
      </w:tcPr>
    </w:tblStylePr>
    <w:tblStylePr w:type="band1Horz">
      <w:tcPr>
        <w:tcBorders>
          <w:top w:val="single" w:color="C30045" w:sz="8" w:space="0"/>
          <w:left w:val="single" w:color="C30045" w:sz="8" w:space="0"/>
          <w:bottom w:val="single" w:color="C30045" w:sz="8" w:space="0"/>
          <w:right w:val="single" w:color="C30045" w:sz="8" w:space="0"/>
          <w:insideV w:val="single" w:sz="8" w:space="0"/>
        </w:tcBorders>
        <w:shd w:val="clear" w:color="auto" w:fill="FFB1CC"/>
      </w:tcPr>
    </w:tblStylePr>
    <w:tblStylePr w:type="band2Horz">
      <w:tcPr>
        <w:tcBorders>
          <w:top w:val="single" w:color="C30045" w:sz="8" w:space="0"/>
          <w:left w:val="single" w:color="C30045" w:sz="8" w:space="0"/>
          <w:bottom w:val="single" w:color="C30045" w:sz="8" w:space="0"/>
          <w:right w:val="single" w:color="C30045" w:sz="8" w:space="0"/>
          <w:insideV w:val="single" w:sz="8" w:space="0"/>
        </w:tcBorders>
      </w:tcPr>
    </w:tblStylePr>
  </w:style>
  <w:style w:type="table" w:customStyle="1" w:styleId="720">
    <w:name w:val="浅色网格 - 强调文字颜色 311"/>
    <w:basedOn w:val="88"/>
    <w:uiPriority w:val="62"/>
    <w:rPr>
      <w:lang w:val="en-GB" w:eastAsia="en-GB"/>
    </w:rPr>
    <w:tblPr>
      <w:tblBorders>
        <w:top w:val="single" w:color="747678" w:sz="8" w:space="0"/>
        <w:left w:val="single" w:color="747678" w:sz="8" w:space="0"/>
        <w:bottom w:val="single" w:color="747678" w:sz="8" w:space="0"/>
        <w:right w:val="single" w:color="747678" w:sz="8" w:space="0"/>
        <w:insideH w:val="single" w:color="747678" w:sz="8" w:space="0"/>
        <w:insideV w:val="single" w:color="747678"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747678" w:sz="8" w:space="0"/>
          <w:left w:val="single" w:color="747678" w:sz="8" w:space="0"/>
          <w:bottom w:val="single" w:color="747678" w:sz="18" w:space="0"/>
          <w:right w:val="single" w:color="747678"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747678" w:sz="6" w:space="0"/>
          <w:left w:val="single" w:color="747678" w:sz="8" w:space="0"/>
          <w:bottom w:val="single" w:color="747678" w:sz="8" w:space="0"/>
          <w:right w:val="single" w:color="747678"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747678" w:sz="8" w:space="0"/>
          <w:left w:val="single" w:color="747678" w:sz="8" w:space="0"/>
          <w:bottom w:val="single" w:color="747678" w:sz="8" w:space="0"/>
          <w:right w:val="single" w:color="747678" w:sz="8" w:space="0"/>
        </w:tcBorders>
      </w:tcPr>
    </w:tblStylePr>
    <w:tblStylePr w:type="band1Vert">
      <w:tcPr>
        <w:tcBorders>
          <w:top w:val="single" w:color="747678" w:sz="8" w:space="0"/>
          <w:left w:val="single" w:color="747678" w:sz="8" w:space="0"/>
          <w:bottom w:val="single" w:color="747678" w:sz="8" w:space="0"/>
          <w:right w:val="single" w:color="747678" w:sz="8" w:space="0"/>
        </w:tcBorders>
        <w:shd w:val="clear" w:color="auto" w:fill="DCDCDD"/>
      </w:tcPr>
    </w:tblStylePr>
    <w:tblStylePr w:type="band1Horz">
      <w:tcPr>
        <w:tcBorders>
          <w:top w:val="single" w:color="747678" w:sz="8" w:space="0"/>
          <w:left w:val="single" w:color="747678" w:sz="8" w:space="0"/>
          <w:bottom w:val="single" w:color="747678" w:sz="8" w:space="0"/>
          <w:right w:val="single" w:color="747678" w:sz="8" w:space="0"/>
          <w:insideV w:val="single" w:sz="8" w:space="0"/>
        </w:tcBorders>
        <w:shd w:val="clear" w:color="auto" w:fill="DCDCDD"/>
      </w:tcPr>
    </w:tblStylePr>
    <w:tblStylePr w:type="band2Horz">
      <w:tcPr>
        <w:tcBorders>
          <w:top w:val="single" w:color="747678" w:sz="8" w:space="0"/>
          <w:left w:val="single" w:color="747678" w:sz="8" w:space="0"/>
          <w:bottom w:val="single" w:color="747678" w:sz="8" w:space="0"/>
          <w:right w:val="single" w:color="747678" w:sz="8" w:space="0"/>
          <w:insideV w:val="single" w:sz="8" w:space="0"/>
        </w:tcBorders>
      </w:tcPr>
    </w:tblStylePr>
  </w:style>
  <w:style w:type="table" w:customStyle="1" w:styleId="721">
    <w:name w:val="浅色网格 - 强调文字颜色 411"/>
    <w:basedOn w:val="88"/>
    <w:qFormat/>
    <w:uiPriority w:val="62"/>
    <w:rPr>
      <w:lang w:val="en-GB" w:eastAsia="en-GB"/>
    </w:rPr>
    <w:tblPr>
      <w:tblBorders>
        <w:top w:val="single" w:color="7AB800" w:sz="8" w:space="0"/>
        <w:left w:val="single" w:color="7AB800" w:sz="8" w:space="0"/>
        <w:bottom w:val="single" w:color="7AB800" w:sz="8" w:space="0"/>
        <w:right w:val="single" w:color="7AB800" w:sz="8" w:space="0"/>
        <w:insideH w:val="single" w:color="7AB800" w:sz="8" w:space="0"/>
        <w:insideV w:val="single" w:color="7AB8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7AB800" w:sz="8" w:space="0"/>
          <w:left w:val="single" w:color="7AB800" w:sz="8" w:space="0"/>
          <w:bottom w:val="single" w:color="7AB800" w:sz="18" w:space="0"/>
          <w:right w:val="single" w:color="7AB8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7AB800" w:sz="6" w:space="0"/>
          <w:left w:val="single" w:color="7AB800" w:sz="8" w:space="0"/>
          <w:bottom w:val="single" w:color="7AB800" w:sz="8" w:space="0"/>
          <w:right w:val="single" w:color="7AB8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7AB800" w:sz="8" w:space="0"/>
          <w:left w:val="single" w:color="7AB800" w:sz="8" w:space="0"/>
          <w:bottom w:val="single" w:color="7AB800" w:sz="8" w:space="0"/>
          <w:right w:val="single" w:color="7AB800" w:sz="8" w:space="0"/>
        </w:tcBorders>
      </w:tcPr>
    </w:tblStylePr>
    <w:tblStylePr w:type="band1Vert">
      <w:tcPr>
        <w:tcBorders>
          <w:top w:val="single" w:color="7AB800" w:sz="8" w:space="0"/>
          <w:left w:val="single" w:color="7AB800" w:sz="8" w:space="0"/>
          <w:bottom w:val="single" w:color="7AB800" w:sz="8" w:space="0"/>
          <w:right w:val="single" w:color="7AB800" w:sz="8" w:space="0"/>
        </w:tcBorders>
        <w:shd w:val="clear" w:color="auto" w:fill="E3FFAE"/>
      </w:tcPr>
    </w:tblStylePr>
    <w:tblStylePr w:type="band1Horz">
      <w:tcPr>
        <w:tcBorders>
          <w:top w:val="single" w:color="7AB800" w:sz="8" w:space="0"/>
          <w:left w:val="single" w:color="7AB800" w:sz="8" w:space="0"/>
          <w:bottom w:val="single" w:color="7AB800" w:sz="8" w:space="0"/>
          <w:right w:val="single" w:color="7AB800" w:sz="8" w:space="0"/>
          <w:insideV w:val="single" w:sz="8" w:space="0"/>
        </w:tcBorders>
        <w:shd w:val="clear" w:color="auto" w:fill="E3FFAE"/>
      </w:tcPr>
    </w:tblStylePr>
    <w:tblStylePr w:type="band2Horz">
      <w:tcPr>
        <w:tcBorders>
          <w:top w:val="single" w:color="7AB800" w:sz="8" w:space="0"/>
          <w:left w:val="single" w:color="7AB800" w:sz="8" w:space="0"/>
          <w:bottom w:val="single" w:color="7AB800" w:sz="8" w:space="0"/>
          <w:right w:val="single" w:color="7AB800" w:sz="8" w:space="0"/>
          <w:insideV w:val="single" w:sz="8" w:space="0"/>
        </w:tcBorders>
      </w:tcPr>
    </w:tblStylePr>
  </w:style>
  <w:style w:type="table" w:customStyle="1" w:styleId="722">
    <w:name w:val="浅色网格 - 强调文字颜色 511"/>
    <w:basedOn w:val="88"/>
    <w:qFormat/>
    <w:uiPriority w:val="62"/>
    <w:rPr>
      <w:lang w:val="en-GB" w:eastAsia="en-GB"/>
    </w:rPr>
    <w:tblPr>
      <w:tblBorders>
        <w:top w:val="single" w:color="FF7900" w:sz="8" w:space="0"/>
        <w:left w:val="single" w:color="FF7900" w:sz="8" w:space="0"/>
        <w:bottom w:val="single" w:color="FF7900" w:sz="8" w:space="0"/>
        <w:right w:val="single" w:color="FF7900" w:sz="8" w:space="0"/>
        <w:insideH w:val="single" w:color="FF7900" w:sz="8" w:space="0"/>
        <w:insideV w:val="single" w:color="FF7900"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FF7900" w:sz="8" w:space="0"/>
          <w:left w:val="single" w:color="FF7900" w:sz="8" w:space="0"/>
          <w:bottom w:val="single" w:color="FF7900" w:sz="18" w:space="0"/>
          <w:right w:val="single" w:color="FF7900"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FF7900" w:sz="6" w:space="0"/>
          <w:left w:val="single" w:color="FF7900" w:sz="8" w:space="0"/>
          <w:bottom w:val="single" w:color="FF7900" w:sz="8" w:space="0"/>
          <w:right w:val="single" w:color="FF7900"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FF7900" w:sz="8" w:space="0"/>
          <w:left w:val="single" w:color="FF7900" w:sz="8" w:space="0"/>
          <w:bottom w:val="single" w:color="FF7900" w:sz="8" w:space="0"/>
          <w:right w:val="single" w:color="FF7900" w:sz="8" w:space="0"/>
        </w:tcBorders>
      </w:tcPr>
    </w:tblStylePr>
    <w:tblStylePr w:type="band1Vert">
      <w:tcPr>
        <w:tcBorders>
          <w:top w:val="single" w:color="FF7900" w:sz="8" w:space="0"/>
          <w:left w:val="single" w:color="FF7900" w:sz="8" w:space="0"/>
          <w:bottom w:val="single" w:color="FF7900" w:sz="8" w:space="0"/>
          <w:right w:val="single" w:color="FF7900" w:sz="8" w:space="0"/>
        </w:tcBorders>
        <w:shd w:val="clear" w:color="auto" w:fill="FFDDC0"/>
      </w:tcPr>
    </w:tblStylePr>
    <w:tblStylePr w:type="band1Horz">
      <w:tcPr>
        <w:tcBorders>
          <w:top w:val="single" w:color="FF7900" w:sz="8" w:space="0"/>
          <w:left w:val="single" w:color="FF7900" w:sz="8" w:space="0"/>
          <w:bottom w:val="single" w:color="FF7900" w:sz="8" w:space="0"/>
          <w:right w:val="single" w:color="FF7900" w:sz="8" w:space="0"/>
          <w:insideV w:val="single" w:sz="8" w:space="0"/>
        </w:tcBorders>
        <w:shd w:val="clear" w:color="auto" w:fill="FFDDC0"/>
      </w:tcPr>
    </w:tblStylePr>
    <w:tblStylePr w:type="band2Horz">
      <w:tcPr>
        <w:tcBorders>
          <w:top w:val="single" w:color="FF7900" w:sz="8" w:space="0"/>
          <w:left w:val="single" w:color="FF7900" w:sz="8" w:space="0"/>
          <w:bottom w:val="single" w:color="FF7900" w:sz="8" w:space="0"/>
          <w:right w:val="single" w:color="FF7900" w:sz="8" w:space="0"/>
          <w:insideV w:val="single" w:sz="8" w:space="0"/>
        </w:tcBorders>
      </w:tcPr>
    </w:tblStylePr>
  </w:style>
  <w:style w:type="table" w:customStyle="1" w:styleId="723">
    <w:name w:val="浅色网格 - 强调文字颜色 611"/>
    <w:basedOn w:val="88"/>
    <w:qFormat/>
    <w:uiPriority w:val="62"/>
    <w:rPr>
      <w:lang w:val="en-GB" w:eastAsia="en-GB"/>
    </w:rPr>
    <w:tblPr>
      <w:tblBorders>
        <w:top w:val="single" w:color="0046AD" w:sz="8" w:space="0"/>
        <w:left w:val="single" w:color="0046AD" w:sz="8" w:space="0"/>
        <w:bottom w:val="single" w:color="0046AD" w:sz="8" w:space="0"/>
        <w:right w:val="single" w:color="0046AD" w:sz="8" w:space="0"/>
        <w:insideH w:val="single" w:color="0046AD" w:sz="8" w:space="0"/>
        <w:insideV w:val="single" w:color="0046AD" w:sz="8" w:space="0"/>
      </w:tblBorders>
    </w:tblPr>
    <w:tblStylePr w:type="firstRow">
      <w:pPr>
        <w:spacing w:before="0" w:after="0" w:line="240" w:lineRule="auto"/>
      </w:pPr>
      <w:rPr>
        <w:rFonts w:ascii="Bahnschrift Light SemiCondensed" w:hAnsi="Bahnschrift Light SemiCondensed" w:eastAsia="宋体" w:cs="Times New Roman"/>
        <w:b/>
        <w:bCs/>
      </w:rPr>
      <w:tcPr>
        <w:tcBorders>
          <w:top w:val="single" w:color="0046AD" w:sz="8" w:space="0"/>
          <w:left w:val="single" w:color="0046AD" w:sz="8" w:space="0"/>
          <w:bottom w:val="single" w:color="0046AD" w:sz="18" w:space="0"/>
          <w:right w:val="single" w:color="0046AD" w:sz="8" w:space="0"/>
          <w:insideH w:val="nil"/>
          <w:insideV w:val="single" w:sz="8" w:space="0"/>
        </w:tcBorders>
      </w:tcPr>
    </w:tblStylePr>
    <w:tblStylePr w:type="lastRow">
      <w:pPr>
        <w:spacing w:before="0" w:after="0" w:line="240" w:lineRule="auto"/>
      </w:pPr>
      <w:rPr>
        <w:rFonts w:ascii="Bahnschrift Light SemiCondensed" w:hAnsi="Bahnschrift Light SemiCondensed" w:eastAsia="宋体" w:cs="Times New Roman"/>
        <w:b/>
        <w:bCs/>
      </w:rPr>
      <w:tcPr>
        <w:tcBorders>
          <w:top w:val="double" w:color="0046AD" w:sz="6" w:space="0"/>
          <w:left w:val="single" w:color="0046AD" w:sz="8" w:space="0"/>
          <w:bottom w:val="single" w:color="0046AD" w:sz="8" w:space="0"/>
          <w:right w:val="single" w:color="0046AD" w:sz="8" w:space="0"/>
          <w:insideH w:val="nil"/>
          <w:insideV w:val="single" w:sz="8" w:space="0"/>
        </w:tcBorders>
      </w:tcPr>
    </w:tblStylePr>
    <w:tblStylePr w:type="firstCol">
      <w:rPr>
        <w:rFonts w:ascii="Bahnschrift Light SemiCondensed" w:hAnsi="Bahnschrift Light SemiCondensed" w:eastAsia="宋体" w:cs="Times New Roman"/>
        <w:b/>
        <w:bCs/>
      </w:rPr>
    </w:tblStylePr>
    <w:tblStylePr w:type="lastCol">
      <w:rPr>
        <w:rFonts w:ascii="Bahnschrift Light SemiCondensed" w:hAnsi="Bahnschrift Light SemiCondensed" w:eastAsia="宋体" w:cs="Times New Roman"/>
        <w:b/>
        <w:bCs/>
      </w:rPr>
      <w:tcPr>
        <w:tcBorders>
          <w:top w:val="single" w:color="0046AD" w:sz="8" w:space="0"/>
          <w:left w:val="single" w:color="0046AD" w:sz="8" w:space="0"/>
          <w:bottom w:val="single" w:color="0046AD" w:sz="8" w:space="0"/>
          <w:right w:val="single" w:color="0046AD" w:sz="8" w:space="0"/>
        </w:tcBorders>
      </w:tcPr>
    </w:tblStylePr>
    <w:tblStylePr w:type="band1Vert">
      <w:tcPr>
        <w:tcBorders>
          <w:top w:val="single" w:color="0046AD" w:sz="8" w:space="0"/>
          <w:left w:val="single" w:color="0046AD" w:sz="8" w:space="0"/>
          <w:bottom w:val="single" w:color="0046AD" w:sz="8" w:space="0"/>
          <w:right w:val="single" w:color="0046AD" w:sz="8" w:space="0"/>
        </w:tcBorders>
        <w:shd w:val="clear" w:color="auto" w:fill="ABCDFF"/>
      </w:tcPr>
    </w:tblStylePr>
    <w:tblStylePr w:type="band1Horz">
      <w:tcPr>
        <w:tcBorders>
          <w:top w:val="single" w:color="0046AD" w:sz="8" w:space="0"/>
          <w:left w:val="single" w:color="0046AD" w:sz="8" w:space="0"/>
          <w:bottom w:val="single" w:color="0046AD" w:sz="8" w:space="0"/>
          <w:right w:val="single" w:color="0046AD" w:sz="8" w:space="0"/>
          <w:insideV w:val="single" w:sz="8" w:space="0"/>
        </w:tcBorders>
        <w:shd w:val="clear" w:color="auto" w:fill="ABCDFF"/>
      </w:tcPr>
    </w:tblStylePr>
    <w:tblStylePr w:type="band2Horz">
      <w:tcPr>
        <w:tcBorders>
          <w:top w:val="single" w:color="0046AD" w:sz="8" w:space="0"/>
          <w:left w:val="single" w:color="0046AD" w:sz="8" w:space="0"/>
          <w:bottom w:val="single" w:color="0046AD" w:sz="8" w:space="0"/>
          <w:right w:val="single" w:color="0046AD" w:sz="8" w:space="0"/>
          <w:insideV w:val="single" w:sz="8" w:space="0"/>
        </w:tcBorders>
      </w:tcPr>
    </w:tblStylePr>
  </w:style>
  <w:style w:type="table" w:customStyle="1" w:styleId="724">
    <w:name w:val="Light List111"/>
    <w:basedOn w:val="88"/>
    <w:semiHidden/>
    <w:qFormat/>
    <w:uiPriority w:val="61"/>
    <w:rPr>
      <w:lang w:val="en-GB" w:eastAsia="en-GB"/>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5">
    <w:name w:val="Light List - Accent 1111"/>
    <w:basedOn w:val="88"/>
    <w:semiHidden/>
    <w:uiPriority w:val="61"/>
    <w:rPr>
      <w:lang w:val="en-GB" w:eastAsia="en-GB"/>
    </w:rPr>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726">
    <w:name w:val="浅色列表 - 强调文字颜色 211"/>
    <w:basedOn w:val="88"/>
    <w:qFormat/>
    <w:uiPriority w:val="61"/>
    <w:rPr>
      <w:lang w:val="en-GB" w:eastAsia="en-GB"/>
    </w:rPr>
    <w:tblPr>
      <w:tblBorders>
        <w:top w:val="single" w:color="C30045" w:sz="8" w:space="0"/>
        <w:left w:val="single" w:color="C30045" w:sz="8" w:space="0"/>
        <w:bottom w:val="single" w:color="C30045" w:sz="8" w:space="0"/>
        <w:right w:val="single" w:color="C30045" w:sz="8" w:space="0"/>
      </w:tblBorders>
    </w:tblPr>
    <w:tblStylePr w:type="firstRow">
      <w:pPr>
        <w:spacing w:before="0" w:after="0" w:line="240" w:lineRule="auto"/>
      </w:pPr>
      <w:rPr>
        <w:b/>
        <w:bCs/>
        <w:color w:val="FFFFFF"/>
      </w:rPr>
      <w:tcPr>
        <w:shd w:val="clear" w:color="auto" w:fill="C30045"/>
      </w:tcPr>
    </w:tblStylePr>
    <w:tblStylePr w:type="lastRow">
      <w:pPr>
        <w:spacing w:before="0" w:after="0" w:line="240" w:lineRule="auto"/>
      </w:pPr>
      <w:rPr>
        <w:b/>
        <w:bCs/>
      </w:rPr>
      <w:tcPr>
        <w:tcBorders>
          <w:top w:val="double" w:color="C30045" w:sz="6" w:space="0"/>
          <w:left w:val="single" w:color="C30045" w:sz="8" w:space="0"/>
          <w:bottom w:val="single" w:color="C30045" w:sz="8" w:space="0"/>
          <w:right w:val="single" w:color="C30045" w:sz="8" w:space="0"/>
        </w:tcBorders>
      </w:tcPr>
    </w:tblStylePr>
    <w:tblStylePr w:type="firstCol">
      <w:rPr>
        <w:b/>
        <w:bCs/>
      </w:rPr>
    </w:tblStylePr>
    <w:tblStylePr w:type="lastCol">
      <w:rPr>
        <w:b/>
        <w:bCs/>
      </w:rPr>
    </w:tblStylePr>
    <w:tblStylePr w:type="band1Vert">
      <w:tcPr>
        <w:tcBorders>
          <w:top w:val="single" w:color="C30045" w:sz="8" w:space="0"/>
          <w:left w:val="single" w:color="C30045" w:sz="8" w:space="0"/>
          <w:bottom w:val="single" w:color="C30045" w:sz="8" w:space="0"/>
          <w:right w:val="single" w:color="C30045" w:sz="8" w:space="0"/>
        </w:tcBorders>
      </w:tcPr>
    </w:tblStylePr>
    <w:tblStylePr w:type="band1Horz">
      <w:tcPr>
        <w:tcBorders>
          <w:top w:val="single" w:color="C30045" w:sz="8" w:space="0"/>
          <w:left w:val="single" w:color="C30045" w:sz="8" w:space="0"/>
          <w:bottom w:val="single" w:color="C30045" w:sz="8" w:space="0"/>
          <w:right w:val="single" w:color="C30045" w:sz="8" w:space="0"/>
        </w:tcBorders>
      </w:tcPr>
    </w:tblStylePr>
  </w:style>
  <w:style w:type="table" w:customStyle="1" w:styleId="727">
    <w:name w:val="浅色列表 - 强调文字颜色 311"/>
    <w:basedOn w:val="88"/>
    <w:qFormat/>
    <w:uiPriority w:val="61"/>
    <w:rPr>
      <w:lang w:val="en-GB" w:eastAsia="en-GB"/>
    </w:rPr>
    <w:tblPr>
      <w:tblBorders>
        <w:top w:val="single" w:color="747678" w:sz="8" w:space="0"/>
        <w:left w:val="single" w:color="747678" w:sz="8" w:space="0"/>
        <w:bottom w:val="single" w:color="747678" w:sz="8" w:space="0"/>
        <w:right w:val="single" w:color="747678" w:sz="8" w:space="0"/>
      </w:tblBorders>
    </w:tblPr>
    <w:tblStylePr w:type="firstRow">
      <w:pPr>
        <w:spacing w:before="0" w:after="0" w:line="240" w:lineRule="auto"/>
      </w:pPr>
      <w:rPr>
        <w:b/>
        <w:bCs/>
        <w:color w:val="FFFFFF"/>
      </w:rPr>
      <w:tcPr>
        <w:shd w:val="clear" w:color="auto" w:fill="747678"/>
      </w:tcPr>
    </w:tblStylePr>
    <w:tblStylePr w:type="lastRow">
      <w:pPr>
        <w:spacing w:before="0" w:after="0" w:line="240" w:lineRule="auto"/>
      </w:pPr>
      <w:rPr>
        <w:b/>
        <w:bCs/>
      </w:rPr>
      <w:tcPr>
        <w:tcBorders>
          <w:top w:val="double" w:color="747678" w:sz="6" w:space="0"/>
          <w:left w:val="single" w:color="747678" w:sz="8" w:space="0"/>
          <w:bottom w:val="single" w:color="747678" w:sz="8" w:space="0"/>
          <w:right w:val="single" w:color="747678" w:sz="8" w:space="0"/>
        </w:tcBorders>
      </w:tcPr>
    </w:tblStylePr>
    <w:tblStylePr w:type="firstCol">
      <w:rPr>
        <w:b/>
        <w:bCs/>
      </w:rPr>
    </w:tblStylePr>
    <w:tblStylePr w:type="lastCol">
      <w:rPr>
        <w:b/>
        <w:bCs/>
      </w:rPr>
    </w:tblStylePr>
    <w:tblStylePr w:type="band1Vert">
      <w:tcPr>
        <w:tcBorders>
          <w:top w:val="single" w:color="747678" w:sz="8" w:space="0"/>
          <w:left w:val="single" w:color="747678" w:sz="8" w:space="0"/>
          <w:bottom w:val="single" w:color="747678" w:sz="8" w:space="0"/>
          <w:right w:val="single" w:color="747678" w:sz="8" w:space="0"/>
        </w:tcBorders>
      </w:tcPr>
    </w:tblStylePr>
    <w:tblStylePr w:type="band1Horz">
      <w:tcPr>
        <w:tcBorders>
          <w:top w:val="single" w:color="747678" w:sz="8" w:space="0"/>
          <w:left w:val="single" w:color="747678" w:sz="8" w:space="0"/>
          <w:bottom w:val="single" w:color="747678" w:sz="8" w:space="0"/>
          <w:right w:val="single" w:color="747678" w:sz="8" w:space="0"/>
        </w:tcBorders>
      </w:tcPr>
    </w:tblStylePr>
  </w:style>
  <w:style w:type="table" w:customStyle="1" w:styleId="728">
    <w:name w:val="浅色列表 - 强调文字颜色 411"/>
    <w:basedOn w:val="88"/>
    <w:qFormat/>
    <w:uiPriority w:val="61"/>
    <w:rPr>
      <w:lang w:val="en-GB" w:eastAsia="en-GB"/>
    </w:rPr>
    <w:tblPr>
      <w:tblBorders>
        <w:top w:val="single" w:color="7AB800" w:sz="8" w:space="0"/>
        <w:left w:val="single" w:color="7AB800" w:sz="8" w:space="0"/>
        <w:bottom w:val="single" w:color="7AB800" w:sz="8" w:space="0"/>
        <w:right w:val="single" w:color="7AB800" w:sz="8" w:space="0"/>
      </w:tblBorders>
    </w:tblPr>
    <w:tblStylePr w:type="firstRow">
      <w:pPr>
        <w:spacing w:before="0" w:after="0" w:line="240" w:lineRule="auto"/>
      </w:pPr>
      <w:rPr>
        <w:b/>
        <w:bCs/>
        <w:color w:val="FFFFFF"/>
      </w:rPr>
      <w:tcPr>
        <w:shd w:val="clear" w:color="auto" w:fill="7AB800"/>
      </w:tcPr>
    </w:tblStylePr>
    <w:tblStylePr w:type="lastRow">
      <w:pPr>
        <w:spacing w:before="0" w:after="0" w:line="240" w:lineRule="auto"/>
      </w:pPr>
      <w:rPr>
        <w:b/>
        <w:bCs/>
      </w:rPr>
      <w:tcPr>
        <w:tcBorders>
          <w:top w:val="double" w:color="7AB800" w:sz="6" w:space="0"/>
          <w:left w:val="single" w:color="7AB800" w:sz="8" w:space="0"/>
          <w:bottom w:val="single" w:color="7AB800" w:sz="8" w:space="0"/>
          <w:right w:val="single" w:color="7AB800" w:sz="8" w:space="0"/>
        </w:tcBorders>
      </w:tcPr>
    </w:tblStylePr>
    <w:tblStylePr w:type="firstCol">
      <w:rPr>
        <w:b/>
        <w:bCs/>
      </w:rPr>
    </w:tblStylePr>
    <w:tblStylePr w:type="lastCol">
      <w:rPr>
        <w:b/>
        <w:bCs/>
      </w:rPr>
    </w:tblStylePr>
    <w:tblStylePr w:type="band1Vert">
      <w:tcPr>
        <w:tcBorders>
          <w:top w:val="single" w:color="7AB800" w:sz="8" w:space="0"/>
          <w:left w:val="single" w:color="7AB800" w:sz="8" w:space="0"/>
          <w:bottom w:val="single" w:color="7AB800" w:sz="8" w:space="0"/>
          <w:right w:val="single" w:color="7AB800" w:sz="8" w:space="0"/>
        </w:tcBorders>
      </w:tcPr>
    </w:tblStylePr>
    <w:tblStylePr w:type="band1Horz">
      <w:tcPr>
        <w:tcBorders>
          <w:top w:val="single" w:color="7AB800" w:sz="8" w:space="0"/>
          <w:left w:val="single" w:color="7AB800" w:sz="8" w:space="0"/>
          <w:bottom w:val="single" w:color="7AB800" w:sz="8" w:space="0"/>
          <w:right w:val="single" w:color="7AB800" w:sz="8" w:space="0"/>
        </w:tcBorders>
      </w:tcPr>
    </w:tblStylePr>
  </w:style>
  <w:style w:type="table" w:customStyle="1" w:styleId="729">
    <w:name w:val="浅色列表 - 强调文字颜色 511"/>
    <w:basedOn w:val="88"/>
    <w:qFormat/>
    <w:uiPriority w:val="61"/>
    <w:rPr>
      <w:lang w:val="en-GB" w:eastAsia="en-GB"/>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FFFFFF"/>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730">
    <w:name w:val="浅色列表 - 强调文字颜色 611"/>
    <w:basedOn w:val="88"/>
    <w:qFormat/>
    <w:uiPriority w:val="61"/>
    <w:rPr>
      <w:lang w:val="en-GB" w:eastAsia="en-GB"/>
    </w:rPr>
    <w:tblPr>
      <w:tblBorders>
        <w:top w:val="single" w:color="0046AD" w:sz="8" w:space="0"/>
        <w:left w:val="single" w:color="0046AD" w:sz="8" w:space="0"/>
        <w:bottom w:val="single" w:color="0046AD" w:sz="8" w:space="0"/>
        <w:right w:val="single" w:color="0046AD" w:sz="8" w:space="0"/>
      </w:tblBorders>
    </w:tblPr>
    <w:tblStylePr w:type="firstRow">
      <w:pPr>
        <w:spacing w:before="0" w:after="0" w:line="240" w:lineRule="auto"/>
      </w:pPr>
      <w:rPr>
        <w:b/>
        <w:bCs/>
        <w:color w:val="FFFFFF"/>
      </w:rPr>
      <w:tcPr>
        <w:shd w:val="clear" w:color="auto" w:fill="0046AD"/>
      </w:tcPr>
    </w:tblStylePr>
    <w:tblStylePr w:type="lastRow">
      <w:pPr>
        <w:spacing w:before="0" w:after="0" w:line="240" w:lineRule="auto"/>
      </w:pPr>
      <w:rPr>
        <w:b/>
        <w:bCs/>
      </w:rPr>
      <w:tcPr>
        <w:tcBorders>
          <w:top w:val="double" w:color="0046AD" w:sz="6" w:space="0"/>
          <w:left w:val="single" w:color="0046AD" w:sz="8" w:space="0"/>
          <w:bottom w:val="single" w:color="0046AD" w:sz="8" w:space="0"/>
          <w:right w:val="single" w:color="0046AD" w:sz="8" w:space="0"/>
        </w:tcBorders>
      </w:tcPr>
    </w:tblStylePr>
    <w:tblStylePr w:type="firstCol">
      <w:rPr>
        <w:b/>
        <w:bCs/>
      </w:rPr>
    </w:tblStylePr>
    <w:tblStylePr w:type="lastCol">
      <w:rPr>
        <w:b/>
        <w:bCs/>
      </w:rPr>
    </w:tblStylePr>
    <w:tblStylePr w:type="band1Vert">
      <w:tcPr>
        <w:tcBorders>
          <w:top w:val="single" w:color="0046AD" w:sz="8" w:space="0"/>
          <w:left w:val="single" w:color="0046AD" w:sz="8" w:space="0"/>
          <w:bottom w:val="single" w:color="0046AD" w:sz="8" w:space="0"/>
          <w:right w:val="single" w:color="0046AD" w:sz="8" w:space="0"/>
        </w:tcBorders>
      </w:tcPr>
    </w:tblStylePr>
    <w:tblStylePr w:type="band1Horz">
      <w:tcPr>
        <w:tcBorders>
          <w:top w:val="single" w:color="0046AD" w:sz="8" w:space="0"/>
          <w:left w:val="single" w:color="0046AD" w:sz="8" w:space="0"/>
          <w:bottom w:val="single" w:color="0046AD" w:sz="8" w:space="0"/>
          <w:right w:val="single" w:color="0046AD" w:sz="8" w:space="0"/>
        </w:tcBorders>
      </w:tcPr>
    </w:tblStylePr>
  </w:style>
  <w:style w:type="table" w:customStyle="1" w:styleId="731">
    <w:name w:val="Light Shading111"/>
    <w:basedOn w:val="88"/>
    <w:semiHidden/>
    <w:qFormat/>
    <w:uiPriority w:val="60"/>
    <w:rPr>
      <w:color w:val="000000"/>
      <w:lang w:val="en-GB" w:eastAsia="en-GB"/>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732">
    <w:name w:val="Light Shading - Accent 1111"/>
    <w:basedOn w:val="88"/>
    <w:semiHidden/>
    <w:qFormat/>
    <w:uiPriority w:val="60"/>
    <w:rPr>
      <w:color w:val="3A215E"/>
      <w:lang w:val="en-GB" w:eastAsia="en-GB"/>
    </w:rPr>
    <w:tblPr>
      <w:tblBorders>
        <w:top w:val="single" w:color="4F2D7F" w:sz="8" w:space="0"/>
        <w:bottom w:val="single" w:color="4F2D7F" w:sz="8" w:space="0"/>
      </w:tblBorders>
    </w:tblPr>
    <w:tblStylePr w:type="firstRow">
      <w:pPr>
        <w:spacing w:before="0" w:after="0" w:line="240" w:lineRule="auto"/>
      </w:pPr>
      <w:rPr>
        <w:b/>
        <w:bCs/>
      </w:rPr>
      <w:tcPr>
        <w:tcBorders>
          <w:top w:val="single" w:color="4F2D7F" w:sz="8" w:space="0"/>
          <w:left w:val="nil"/>
          <w:bottom w:val="single" w:color="4F2D7F" w:sz="8" w:space="0"/>
          <w:right w:val="nil"/>
          <w:insideH w:val="nil"/>
          <w:insideV w:val="nil"/>
        </w:tcBorders>
      </w:tcPr>
    </w:tblStylePr>
    <w:tblStylePr w:type="lastRow">
      <w:pPr>
        <w:spacing w:before="0" w:after="0" w:line="240" w:lineRule="auto"/>
      </w:pPr>
      <w:rPr>
        <w:b/>
        <w:bCs/>
      </w:rPr>
      <w:tcPr>
        <w:tcBorders>
          <w:top w:val="single" w:color="4F2D7F" w:sz="8" w:space="0"/>
          <w:left w:val="nil"/>
          <w:bottom w:val="single" w:color="4F2D7F"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1C1E9"/>
      </w:tcPr>
    </w:tblStylePr>
    <w:tblStylePr w:type="band1Horz">
      <w:tcPr>
        <w:tcBorders>
          <w:left w:val="nil"/>
          <w:right w:val="nil"/>
          <w:insideH w:val="nil"/>
          <w:insideV w:val="nil"/>
        </w:tcBorders>
        <w:shd w:val="clear" w:color="auto" w:fill="D1C1E9"/>
      </w:tcPr>
    </w:tblStylePr>
  </w:style>
  <w:style w:type="table" w:customStyle="1" w:styleId="733">
    <w:name w:val="浅色底纹 - 强调文字颜色 211"/>
    <w:basedOn w:val="88"/>
    <w:qFormat/>
    <w:uiPriority w:val="60"/>
    <w:rPr>
      <w:color w:val="920033"/>
      <w:lang w:val="en-GB" w:eastAsia="en-GB"/>
    </w:rPr>
    <w:tblPr>
      <w:tblBorders>
        <w:top w:val="single" w:color="C30045" w:sz="8" w:space="0"/>
        <w:bottom w:val="single" w:color="C30045" w:sz="8" w:space="0"/>
      </w:tblBorders>
    </w:tblPr>
    <w:tblStylePr w:type="firstRow">
      <w:pPr>
        <w:spacing w:before="0" w:after="0" w:line="240" w:lineRule="auto"/>
      </w:pPr>
      <w:rPr>
        <w:b/>
        <w:bCs/>
      </w:rPr>
      <w:tcPr>
        <w:tcBorders>
          <w:top w:val="single" w:color="C30045" w:sz="8" w:space="0"/>
          <w:left w:val="nil"/>
          <w:bottom w:val="single" w:color="C30045" w:sz="8" w:space="0"/>
          <w:right w:val="nil"/>
          <w:insideH w:val="nil"/>
          <w:insideV w:val="nil"/>
        </w:tcBorders>
      </w:tcPr>
    </w:tblStylePr>
    <w:tblStylePr w:type="lastRow">
      <w:pPr>
        <w:spacing w:before="0" w:after="0" w:line="240" w:lineRule="auto"/>
      </w:pPr>
      <w:rPr>
        <w:b/>
        <w:bCs/>
      </w:rPr>
      <w:tcPr>
        <w:tcBorders>
          <w:top w:val="single" w:color="C30045" w:sz="8" w:space="0"/>
          <w:left w:val="nil"/>
          <w:bottom w:val="single" w:color="C3004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B1CC"/>
      </w:tcPr>
    </w:tblStylePr>
    <w:tblStylePr w:type="band1Horz">
      <w:tcPr>
        <w:tcBorders>
          <w:left w:val="nil"/>
          <w:right w:val="nil"/>
          <w:insideH w:val="nil"/>
          <w:insideV w:val="nil"/>
        </w:tcBorders>
        <w:shd w:val="clear" w:color="auto" w:fill="FFB1CC"/>
      </w:tcPr>
    </w:tblStylePr>
  </w:style>
  <w:style w:type="table" w:customStyle="1" w:styleId="734">
    <w:name w:val="浅色底纹 - 强调文字颜色 313"/>
    <w:basedOn w:val="88"/>
    <w:qFormat/>
    <w:uiPriority w:val="60"/>
    <w:rPr>
      <w:color w:val="575859"/>
      <w:lang w:val="en-GB" w:eastAsia="en-GB"/>
    </w:rPr>
    <w:tblPr>
      <w:tblBorders>
        <w:top w:val="single" w:color="747678" w:sz="8" w:space="0"/>
        <w:bottom w:val="single" w:color="747678" w:sz="8" w:space="0"/>
      </w:tblBorders>
    </w:tblPr>
    <w:tblStylePr w:type="fir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lastRow">
      <w:pPr>
        <w:spacing w:before="0" w:after="0" w:line="240" w:lineRule="auto"/>
      </w:pPr>
      <w:rPr>
        <w:b/>
        <w:bCs/>
      </w:rPr>
      <w:tcPr>
        <w:tcBorders>
          <w:top w:val="single" w:color="747678" w:sz="8" w:space="0"/>
          <w:left w:val="nil"/>
          <w:bottom w:val="single" w:color="747678"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CDCDD"/>
      </w:tcPr>
    </w:tblStylePr>
    <w:tblStylePr w:type="band1Horz">
      <w:tcPr>
        <w:tcBorders>
          <w:left w:val="nil"/>
          <w:right w:val="nil"/>
          <w:insideH w:val="nil"/>
          <w:insideV w:val="nil"/>
        </w:tcBorders>
        <w:shd w:val="clear" w:color="auto" w:fill="DCDCDD"/>
      </w:tcPr>
    </w:tblStylePr>
  </w:style>
  <w:style w:type="table" w:customStyle="1" w:styleId="735">
    <w:name w:val="浅色底纹 - 强调文字颜色 511"/>
    <w:basedOn w:val="88"/>
    <w:qFormat/>
    <w:uiPriority w:val="60"/>
    <w:rPr>
      <w:color w:val="BF5A00"/>
      <w:lang w:val="en-GB" w:eastAsia="en-GB"/>
    </w:rPr>
    <w:tblPr>
      <w:tblBorders>
        <w:top w:val="single" w:color="FF7900" w:sz="8" w:space="0"/>
        <w:bottom w:val="single" w:color="FF7900" w:sz="8" w:space="0"/>
      </w:tblBorders>
    </w:tblPr>
    <w:tblStylePr w:type="firstRow">
      <w:pPr>
        <w:spacing w:before="0" w:after="0" w:line="240" w:lineRule="auto"/>
      </w:pPr>
      <w:rPr>
        <w:b/>
        <w:bCs/>
      </w:rPr>
      <w:tcPr>
        <w:tcBorders>
          <w:top w:val="single" w:color="FF7900" w:sz="8" w:space="0"/>
          <w:left w:val="nil"/>
          <w:bottom w:val="single" w:color="FF7900" w:sz="8" w:space="0"/>
          <w:right w:val="nil"/>
          <w:insideH w:val="nil"/>
          <w:insideV w:val="nil"/>
        </w:tcBorders>
      </w:tcPr>
    </w:tblStylePr>
    <w:tblStylePr w:type="lastRow">
      <w:pPr>
        <w:spacing w:before="0" w:after="0" w:line="240" w:lineRule="auto"/>
      </w:pPr>
      <w:rPr>
        <w:b/>
        <w:bCs/>
      </w:rPr>
      <w:tcPr>
        <w:tcBorders>
          <w:top w:val="single" w:color="FF7900" w:sz="8" w:space="0"/>
          <w:left w:val="nil"/>
          <w:bottom w:val="single" w:color="FF79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DDC0"/>
      </w:tcPr>
    </w:tblStylePr>
    <w:tblStylePr w:type="band1Horz">
      <w:tcPr>
        <w:tcBorders>
          <w:left w:val="nil"/>
          <w:right w:val="nil"/>
          <w:insideH w:val="nil"/>
          <w:insideV w:val="nil"/>
        </w:tcBorders>
        <w:shd w:val="clear" w:color="auto" w:fill="FFDDC0"/>
      </w:tcPr>
    </w:tblStylePr>
  </w:style>
  <w:style w:type="table" w:customStyle="1" w:styleId="736">
    <w:name w:val="浅色底纹 - 强调文字颜色 611"/>
    <w:basedOn w:val="88"/>
    <w:qFormat/>
    <w:uiPriority w:val="60"/>
    <w:rPr>
      <w:color w:val="003481"/>
      <w:lang w:val="en-GB" w:eastAsia="en-GB"/>
    </w:rPr>
    <w:tblPr>
      <w:tblBorders>
        <w:top w:val="single" w:color="0046AD" w:sz="8" w:space="0"/>
        <w:bottom w:val="single" w:color="0046AD" w:sz="8" w:space="0"/>
      </w:tblBorders>
    </w:tblPr>
    <w:tblStylePr w:type="firstRow">
      <w:pPr>
        <w:spacing w:before="0" w:after="0" w:line="240" w:lineRule="auto"/>
      </w:pPr>
      <w:rPr>
        <w:b/>
        <w:bCs/>
      </w:rPr>
      <w:tcPr>
        <w:tcBorders>
          <w:top w:val="single" w:color="0046AD" w:sz="8" w:space="0"/>
          <w:left w:val="nil"/>
          <w:bottom w:val="single" w:color="0046AD" w:sz="8" w:space="0"/>
          <w:right w:val="nil"/>
          <w:insideH w:val="nil"/>
          <w:insideV w:val="nil"/>
        </w:tcBorders>
      </w:tcPr>
    </w:tblStylePr>
    <w:tblStylePr w:type="lastRow">
      <w:pPr>
        <w:spacing w:before="0" w:after="0" w:line="240" w:lineRule="auto"/>
      </w:pPr>
      <w:rPr>
        <w:b/>
        <w:bCs/>
      </w:rPr>
      <w:tcPr>
        <w:tcBorders>
          <w:top w:val="single" w:color="0046AD" w:sz="8" w:space="0"/>
          <w:left w:val="nil"/>
          <w:bottom w:val="single" w:color="0046A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ABCDFF"/>
      </w:tcPr>
    </w:tblStylePr>
    <w:tblStylePr w:type="band1Horz">
      <w:tcPr>
        <w:tcBorders>
          <w:left w:val="nil"/>
          <w:right w:val="nil"/>
          <w:insideH w:val="nil"/>
          <w:insideV w:val="nil"/>
        </w:tcBorders>
        <w:shd w:val="clear" w:color="auto" w:fill="ABCDFF"/>
      </w:tcPr>
    </w:tblStylePr>
  </w:style>
  <w:style w:type="table" w:customStyle="1" w:styleId="737">
    <w:name w:val="Medium Shading 1111"/>
    <w:basedOn w:val="88"/>
    <w:semiHidden/>
    <w:qFormat/>
    <w:uiPriority w:val="63"/>
    <w:rPr>
      <w:lang w:val="en-GB" w:eastAsia="en-GB"/>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738">
    <w:name w:val="Medium Shading 1 - Accent 1111"/>
    <w:basedOn w:val="88"/>
    <w:semiHidden/>
    <w:qFormat/>
    <w:uiPriority w:val="63"/>
    <w:rPr>
      <w:lang w:val="en-GB" w:eastAsia="en-GB"/>
    </w:rPr>
    <w:tblPr>
      <w:tblBorders>
        <w:top w:val="single" w:color="7543BC" w:sz="8" w:space="0"/>
        <w:left w:val="single" w:color="7543BC" w:sz="8" w:space="0"/>
        <w:bottom w:val="single" w:color="7543BC" w:sz="8" w:space="0"/>
        <w:right w:val="single" w:color="7543BC" w:sz="8" w:space="0"/>
        <w:insideH w:val="single" w:color="7543BC" w:sz="8" w:space="0"/>
      </w:tblBorders>
    </w:tblPr>
    <w:tblStylePr w:type="firstRow">
      <w:pPr>
        <w:spacing w:before="0" w:after="0" w:line="240" w:lineRule="auto"/>
      </w:pPr>
      <w:rPr>
        <w:b/>
        <w:bCs/>
        <w:color w:val="FFFFFF"/>
      </w:rPr>
      <w:tcPr>
        <w:tcBorders>
          <w:top w:val="single" w:color="7543BC" w:sz="8" w:space="0"/>
          <w:left w:val="single" w:color="7543BC" w:sz="8" w:space="0"/>
          <w:bottom w:val="single" w:color="7543BC" w:sz="8" w:space="0"/>
          <w:right w:val="single" w:color="7543BC" w:sz="8" w:space="0"/>
          <w:insideH w:val="nil"/>
          <w:insideV w:val="nil"/>
        </w:tcBorders>
        <w:shd w:val="clear" w:color="auto" w:fill="4F2D7F"/>
      </w:tcPr>
    </w:tblStylePr>
    <w:tblStylePr w:type="lastRow">
      <w:pPr>
        <w:spacing w:before="0" w:after="0" w:line="240" w:lineRule="auto"/>
      </w:pPr>
      <w:rPr>
        <w:b/>
        <w:bCs/>
      </w:rPr>
      <w:tcPr>
        <w:tcBorders>
          <w:top w:val="double" w:color="7543BC" w:sz="6" w:space="0"/>
          <w:left w:val="single" w:color="7543BC" w:sz="8" w:space="0"/>
          <w:bottom w:val="single" w:color="7543BC" w:sz="8" w:space="0"/>
          <w:right w:val="single" w:color="7543BC" w:sz="8" w:space="0"/>
          <w:insideH w:val="nil"/>
          <w:insideV w:val="nil"/>
        </w:tcBorders>
      </w:tcPr>
    </w:tblStylePr>
    <w:tblStylePr w:type="firstCol">
      <w:rPr>
        <w:b/>
        <w:bCs/>
      </w:rPr>
    </w:tblStylePr>
    <w:tblStylePr w:type="lastCol">
      <w:rPr>
        <w:b/>
        <w:bCs/>
      </w:rPr>
    </w:tblStylePr>
    <w:tblStylePr w:type="band1Vert">
      <w:tcPr>
        <w:shd w:val="clear" w:color="auto" w:fill="D1C1E9"/>
      </w:tcPr>
    </w:tblStylePr>
    <w:tblStylePr w:type="band1Horz">
      <w:tcPr>
        <w:tcBorders>
          <w:insideH w:val="nil"/>
          <w:insideV w:val="nil"/>
        </w:tcBorders>
        <w:shd w:val="clear" w:color="auto" w:fill="D1C1E9"/>
      </w:tcPr>
    </w:tblStylePr>
    <w:tblStylePr w:type="band2Horz">
      <w:tcPr>
        <w:tcBorders>
          <w:insideH w:val="nil"/>
          <w:insideV w:val="nil"/>
        </w:tcBorders>
      </w:tcPr>
    </w:tblStylePr>
  </w:style>
  <w:style w:type="table" w:customStyle="1" w:styleId="739">
    <w:name w:val="中等深浅底纹 1 - 强调文字颜色 211"/>
    <w:basedOn w:val="88"/>
    <w:qFormat/>
    <w:uiPriority w:val="63"/>
    <w:rPr>
      <w:lang w:val="en-GB" w:eastAsia="en-GB"/>
    </w:rPr>
    <w:tblPr>
      <w:tblBorders>
        <w:top w:val="single" w:color="FF1366" w:sz="8" w:space="0"/>
        <w:left w:val="single" w:color="FF1366" w:sz="8" w:space="0"/>
        <w:bottom w:val="single" w:color="FF1366" w:sz="8" w:space="0"/>
        <w:right w:val="single" w:color="FF1366" w:sz="8" w:space="0"/>
        <w:insideH w:val="single" w:color="FF1366" w:sz="8" w:space="0"/>
      </w:tblBorders>
    </w:tblPr>
    <w:tblStylePr w:type="firstRow">
      <w:pPr>
        <w:spacing w:before="0" w:after="0" w:line="240" w:lineRule="auto"/>
      </w:pPr>
      <w:rPr>
        <w:b/>
        <w:bCs/>
        <w:color w:val="FFFFFF"/>
      </w:rPr>
      <w:tcPr>
        <w:tcBorders>
          <w:top w:val="single" w:color="FF1366" w:sz="8" w:space="0"/>
          <w:left w:val="single" w:color="FF1366" w:sz="8" w:space="0"/>
          <w:bottom w:val="single" w:color="FF1366" w:sz="8" w:space="0"/>
          <w:right w:val="single" w:color="FF1366" w:sz="8" w:space="0"/>
          <w:insideH w:val="nil"/>
          <w:insideV w:val="nil"/>
        </w:tcBorders>
        <w:shd w:val="clear" w:color="auto" w:fill="C30045"/>
      </w:tcPr>
    </w:tblStylePr>
    <w:tblStylePr w:type="lastRow">
      <w:pPr>
        <w:spacing w:before="0" w:after="0" w:line="240" w:lineRule="auto"/>
      </w:pPr>
      <w:rPr>
        <w:b/>
        <w:bCs/>
      </w:rPr>
      <w:tcPr>
        <w:tcBorders>
          <w:top w:val="double" w:color="FF1366" w:sz="6" w:space="0"/>
          <w:left w:val="single" w:color="FF1366" w:sz="8" w:space="0"/>
          <w:bottom w:val="single" w:color="FF1366" w:sz="8" w:space="0"/>
          <w:right w:val="single" w:color="FF1366" w:sz="8" w:space="0"/>
          <w:insideH w:val="nil"/>
          <w:insideV w:val="nil"/>
        </w:tcBorders>
      </w:tcPr>
    </w:tblStylePr>
    <w:tblStylePr w:type="firstCol">
      <w:rPr>
        <w:b/>
        <w:bCs/>
      </w:rPr>
    </w:tblStylePr>
    <w:tblStylePr w:type="lastCol">
      <w:rPr>
        <w:b/>
        <w:bCs/>
      </w:rPr>
    </w:tblStylePr>
    <w:tblStylePr w:type="band1Vert">
      <w:tcPr>
        <w:shd w:val="clear" w:color="auto" w:fill="FFB1CC"/>
      </w:tcPr>
    </w:tblStylePr>
    <w:tblStylePr w:type="band1Horz">
      <w:tcPr>
        <w:tcBorders>
          <w:insideH w:val="nil"/>
          <w:insideV w:val="nil"/>
        </w:tcBorders>
        <w:shd w:val="clear" w:color="auto" w:fill="FFB1CC"/>
      </w:tcPr>
    </w:tblStylePr>
    <w:tblStylePr w:type="band2Horz">
      <w:tcPr>
        <w:tcBorders>
          <w:insideH w:val="nil"/>
          <w:insideV w:val="nil"/>
        </w:tcBorders>
      </w:tcPr>
    </w:tblStylePr>
  </w:style>
  <w:style w:type="table" w:customStyle="1" w:styleId="740">
    <w:name w:val="中等深浅底纹 1 - 强调文字颜色 311"/>
    <w:basedOn w:val="88"/>
    <w:qFormat/>
    <w:uiPriority w:val="63"/>
    <w:rPr>
      <w:lang w:val="en-GB" w:eastAsia="en-GB"/>
    </w:rPr>
    <w:tblPr>
      <w:tblBorders>
        <w:top w:val="single" w:color="96989A" w:sz="8" w:space="0"/>
        <w:left w:val="single" w:color="96989A" w:sz="8" w:space="0"/>
        <w:bottom w:val="single" w:color="96989A" w:sz="8" w:space="0"/>
        <w:right w:val="single" w:color="96989A" w:sz="8" w:space="0"/>
        <w:insideH w:val="single" w:color="96989A" w:sz="8" w:space="0"/>
      </w:tblBorders>
    </w:tblPr>
    <w:tblStylePr w:type="firstRow">
      <w:pPr>
        <w:spacing w:before="0" w:after="0" w:line="240" w:lineRule="auto"/>
      </w:pPr>
      <w:rPr>
        <w:b/>
        <w:bCs/>
        <w:color w:val="FFFFFF"/>
      </w:rPr>
      <w:tcPr>
        <w:tcBorders>
          <w:top w:val="single" w:color="96989A" w:sz="8" w:space="0"/>
          <w:left w:val="single" w:color="96989A" w:sz="8" w:space="0"/>
          <w:bottom w:val="single" w:color="96989A" w:sz="8" w:space="0"/>
          <w:right w:val="single" w:color="96989A" w:sz="8" w:space="0"/>
          <w:insideH w:val="nil"/>
          <w:insideV w:val="nil"/>
        </w:tcBorders>
        <w:shd w:val="clear" w:color="auto" w:fill="747678"/>
      </w:tcPr>
    </w:tblStylePr>
    <w:tblStylePr w:type="lastRow">
      <w:pPr>
        <w:spacing w:before="0" w:after="0" w:line="240" w:lineRule="auto"/>
      </w:pPr>
      <w:rPr>
        <w:b/>
        <w:bCs/>
      </w:rPr>
      <w:tcPr>
        <w:tcBorders>
          <w:top w:val="double" w:color="96989A" w:sz="6" w:space="0"/>
          <w:left w:val="single" w:color="96989A" w:sz="8" w:space="0"/>
          <w:bottom w:val="single" w:color="96989A" w:sz="8" w:space="0"/>
          <w:right w:val="single" w:color="96989A" w:sz="8" w:space="0"/>
          <w:insideH w:val="nil"/>
          <w:insideV w:val="nil"/>
        </w:tcBorders>
      </w:tcPr>
    </w:tblStylePr>
    <w:tblStylePr w:type="firstCol">
      <w:rPr>
        <w:b/>
        <w:bCs/>
      </w:rPr>
    </w:tblStylePr>
    <w:tblStylePr w:type="lastCol">
      <w:rPr>
        <w:b/>
        <w:bCs/>
      </w:rPr>
    </w:tblStylePr>
    <w:tblStylePr w:type="band1Vert">
      <w:tcPr>
        <w:shd w:val="clear" w:color="auto" w:fill="DCDCDD"/>
      </w:tcPr>
    </w:tblStylePr>
    <w:tblStylePr w:type="band1Horz">
      <w:tcPr>
        <w:tcBorders>
          <w:insideH w:val="nil"/>
          <w:insideV w:val="nil"/>
        </w:tcBorders>
        <w:shd w:val="clear" w:color="auto" w:fill="DCDCDD"/>
      </w:tcPr>
    </w:tblStylePr>
    <w:tblStylePr w:type="band2Horz">
      <w:tcPr>
        <w:tcBorders>
          <w:insideH w:val="nil"/>
          <w:insideV w:val="nil"/>
        </w:tcBorders>
      </w:tcPr>
    </w:tblStylePr>
  </w:style>
  <w:style w:type="table" w:customStyle="1" w:styleId="741">
    <w:name w:val="中等深浅底纹 1 - 强调文字颜色 411"/>
    <w:basedOn w:val="88"/>
    <w:qFormat/>
    <w:uiPriority w:val="63"/>
    <w:rPr>
      <w:lang w:val="en-GB" w:eastAsia="en-GB"/>
    </w:rPr>
    <w:tblPr>
      <w:tblBorders>
        <w:top w:val="single" w:color="ACFF0A" w:sz="8" w:space="0"/>
        <w:left w:val="single" w:color="ACFF0A" w:sz="8" w:space="0"/>
        <w:bottom w:val="single" w:color="ACFF0A" w:sz="8" w:space="0"/>
        <w:right w:val="single" w:color="ACFF0A" w:sz="8" w:space="0"/>
        <w:insideH w:val="single" w:color="ACFF0A" w:sz="8" w:space="0"/>
      </w:tblBorders>
    </w:tblPr>
    <w:tblStylePr w:type="firstRow">
      <w:pPr>
        <w:spacing w:before="0" w:after="0" w:line="240" w:lineRule="auto"/>
      </w:pPr>
      <w:rPr>
        <w:b/>
        <w:bCs/>
        <w:color w:val="FFFFFF"/>
      </w:rPr>
      <w:tcPr>
        <w:tcBorders>
          <w:top w:val="single" w:color="ACFF0A" w:sz="8" w:space="0"/>
          <w:left w:val="single" w:color="ACFF0A" w:sz="8" w:space="0"/>
          <w:bottom w:val="single" w:color="ACFF0A" w:sz="8" w:space="0"/>
          <w:right w:val="single" w:color="ACFF0A" w:sz="8" w:space="0"/>
          <w:insideH w:val="nil"/>
          <w:insideV w:val="nil"/>
        </w:tcBorders>
        <w:shd w:val="clear" w:color="auto" w:fill="7AB800"/>
      </w:tcPr>
    </w:tblStylePr>
    <w:tblStylePr w:type="lastRow">
      <w:pPr>
        <w:spacing w:before="0" w:after="0" w:line="240" w:lineRule="auto"/>
      </w:pPr>
      <w:rPr>
        <w:b/>
        <w:bCs/>
      </w:rPr>
      <w:tcPr>
        <w:tcBorders>
          <w:top w:val="double" w:color="ACFF0A" w:sz="6" w:space="0"/>
          <w:left w:val="single" w:color="ACFF0A" w:sz="8" w:space="0"/>
          <w:bottom w:val="single" w:color="ACFF0A" w:sz="8" w:space="0"/>
          <w:right w:val="single" w:color="ACFF0A" w:sz="8" w:space="0"/>
          <w:insideH w:val="nil"/>
          <w:insideV w:val="nil"/>
        </w:tcBorders>
      </w:tcPr>
    </w:tblStylePr>
    <w:tblStylePr w:type="firstCol">
      <w:rPr>
        <w:b/>
        <w:bCs/>
      </w:rPr>
    </w:tblStylePr>
    <w:tblStylePr w:type="lastCol">
      <w:rPr>
        <w:b/>
        <w:bCs/>
      </w:rPr>
    </w:tblStylePr>
    <w:tblStylePr w:type="band1Vert">
      <w:tcPr>
        <w:shd w:val="clear" w:color="auto" w:fill="E3FFAE"/>
      </w:tcPr>
    </w:tblStylePr>
    <w:tblStylePr w:type="band1Horz">
      <w:tcPr>
        <w:tcBorders>
          <w:insideH w:val="nil"/>
          <w:insideV w:val="nil"/>
        </w:tcBorders>
        <w:shd w:val="clear" w:color="auto" w:fill="E3FFAE"/>
      </w:tcPr>
    </w:tblStylePr>
    <w:tblStylePr w:type="band2Horz">
      <w:tcPr>
        <w:tcBorders>
          <w:insideH w:val="nil"/>
          <w:insideV w:val="nil"/>
        </w:tcBorders>
      </w:tcPr>
    </w:tblStylePr>
  </w:style>
  <w:style w:type="table" w:customStyle="1" w:styleId="742">
    <w:name w:val="中等深浅底纹 1 - 强调文字颜色 511"/>
    <w:basedOn w:val="88"/>
    <w:qFormat/>
    <w:uiPriority w:val="63"/>
    <w:rPr>
      <w:lang w:val="en-GB" w:eastAsia="en-GB"/>
    </w:rPr>
    <w:tblPr>
      <w:tblBorders>
        <w:top w:val="single" w:color="FF9A40" w:sz="8" w:space="0"/>
        <w:left w:val="single" w:color="FF9A40" w:sz="8" w:space="0"/>
        <w:bottom w:val="single" w:color="FF9A40" w:sz="8" w:space="0"/>
        <w:right w:val="single" w:color="FF9A40" w:sz="8" w:space="0"/>
        <w:insideH w:val="single" w:color="FF9A40" w:sz="8" w:space="0"/>
      </w:tblBorders>
    </w:tblPr>
    <w:tblStylePr w:type="firstRow">
      <w:pPr>
        <w:spacing w:before="0" w:after="0" w:line="240" w:lineRule="auto"/>
      </w:pPr>
      <w:rPr>
        <w:b/>
        <w:bCs/>
        <w:color w:val="FFFFFF"/>
      </w:rPr>
      <w:tcPr>
        <w:tcBorders>
          <w:top w:val="single" w:color="FF9A40" w:sz="8" w:space="0"/>
          <w:left w:val="single" w:color="FF9A40" w:sz="8" w:space="0"/>
          <w:bottom w:val="single" w:color="FF9A40" w:sz="8" w:space="0"/>
          <w:right w:val="single" w:color="FF9A40" w:sz="8" w:space="0"/>
          <w:insideH w:val="nil"/>
          <w:insideV w:val="nil"/>
        </w:tcBorders>
        <w:shd w:val="clear" w:color="auto" w:fill="FF7900"/>
      </w:tcPr>
    </w:tblStylePr>
    <w:tblStylePr w:type="lastRow">
      <w:pPr>
        <w:spacing w:before="0" w:after="0" w:line="240" w:lineRule="auto"/>
      </w:pPr>
      <w:rPr>
        <w:b/>
        <w:bCs/>
      </w:rPr>
      <w:tcPr>
        <w:tcBorders>
          <w:top w:val="double" w:color="FF9A40" w:sz="6" w:space="0"/>
          <w:left w:val="single" w:color="FF9A40" w:sz="8" w:space="0"/>
          <w:bottom w:val="single" w:color="FF9A40" w:sz="8" w:space="0"/>
          <w:right w:val="single" w:color="FF9A40" w:sz="8" w:space="0"/>
          <w:insideH w:val="nil"/>
          <w:insideV w:val="nil"/>
        </w:tcBorders>
      </w:tcPr>
    </w:tblStylePr>
    <w:tblStylePr w:type="firstCol">
      <w:rPr>
        <w:b/>
        <w:bCs/>
      </w:rPr>
    </w:tblStylePr>
    <w:tblStylePr w:type="lastCol">
      <w:rPr>
        <w:b/>
        <w:bCs/>
      </w:rPr>
    </w:tblStylePr>
    <w:tblStylePr w:type="band1Vert">
      <w:tcPr>
        <w:shd w:val="clear" w:color="auto" w:fill="FFDDC0"/>
      </w:tcPr>
    </w:tblStylePr>
    <w:tblStylePr w:type="band1Horz">
      <w:tcPr>
        <w:tcBorders>
          <w:insideH w:val="nil"/>
          <w:insideV w:val="nil"/>
        </w:tcBorders>
        <w:shd w:val="clear" w:color="auto" w:fill="FFDDC0"/>
      </w:tcPr>
    </w:tblStylePr>
    <w:tblStylePr w:type="band2Horz">
      <w:tcPr>
        <w:tcBorders>
          <w:insideH w:val="nil"/>
          <w:insideV w:val="nil"/>
        </w:tcBorders>
      </w:tcPr>
    </w:tblStylePr>
  </w:style>
  <w:style w:type="table" w:customStyle="1" w:styleId="743">
    <w:name w:val="中等深浅底纹 1 - 强调文字颜色 611"/>
    <w:basedOn w:val="88"/>
    <w:qFormat/>
    <w:uiPriority w:val="63"/>
    <w:rPr>
      <w:lang w:val="en-GB" w:eastAsia="en-GB"/>
    </w:rPr>
    <w:tblPr>
      <w:tblBorders>
        <w:top w:val="single" w:color="0268FF" w:sz="8" w:space="0"/>
        <w:left w:val="single" w:color="0268FF" w:sz="8" w:space="0"/>
        <w:bottom w:val="single" w:color="0268FF" w:sz="8" w:space="0"/>
        <w:right w:val="single" w:color="0268FF" w:sz="8" w:space="0"/>
        <w:insideH w:val="single" w:color="0268FF" w:sz="8" w:space="0"/>
      </w:tblBorders>
    </w:tblPr>
    <w:tblStylePr w:type="firstRow">
      <w:pPr>
        <w:spacing w:before="0" w:after="0" w:line="240" w:lineRule="auto"/>
      </w:pPr>
      <w:rPr>
        <w:b/>
        <w:bCs/>
        <w:color w:val="FFFFFF"/>
      </w:rPr>
      <w:tcPr>
        <w:tcBorders>
          <w:top w:val="single" w:color="0268FF" w:sz="8" w:space="0"/>
          <w:left w:val="single" w:color="0268FF" w:sz="8" w:space="0"/>
          <w:bottom w:val="single" w:color="0268FF" w:sz="8" w:space="0"/>
          <w:right w:val="single" w:color="0268FF" w:sz="8" w:space="0"/>
          <w:insideH w:val="nil"/>
          <w:insideV w:val="nil"/>
        </w:tcBorders>
        <w:shd w:val="clear" w:color="auto" w:fill="0046AD"/>
      </w:tcPr>
    </w:tblStylePr>
    <w:tblStylePr w:type="lastRow">
      <w:pPr>
        <w:spacing w:before="0" w:after="0" w:line="240" w:lineRule="auto"/>
      </w:pPr>
      <w:rPr>
        <w:b/>
        <w:bCs/>
      </w:rPr>
      <w:tcPr>
        <w:tcBorders>
          <w:top w:val="double" w:color="0268FF" w:sz="6" w:space="0"/>
          <w:left w:val="single" w:color="0268FF" w:sz="8" w:space="0"/>
          <w:bottom w:val="single" w:color="0268FF" w:sz="8" w:space="0"/>
          <w:right w:val="single" w:color="0268FF" w:sz="8" w:space="0"/>
          <w:insideH w:val="nil"/>
          <w:insideV w:val="nil"/>
        </w:tcBorders>
      </w:tcPr>
    </w:tblStylePr>
    <w:tblStylePr w:type="firstCol">
      <w:rPr>
        <w:b/>
        <w:bCs/>
      </w:rPr>
    </w:tblStylePr>
    <w:tblStylePr w:type="lastCol">
      <w:rPr>
        <w:b/>
        <w:bCs/>
      </w:rPr>
    </w:tblStylePr>
    <w:tblStylePr w:type="band1Vert">
      <w:tcPr>
        <w:shd w:val="clear" w:color="auto" w:fill="ABCDFF"/>
      </w:tcPr>
    </w:tblStylePr>
    <w:tblStylePr w:type="band1Horz">
      <w:tcPr>
        <w:tcBorders>
          <w:insideH w:val="nil"/>
          <w:insideV w:val="nil"/>
        </w:tcBorders>
        <w:shd w:val="clear" w:color="auto" w:fill="ABCDFF"/>
      </w:tcPr>
    </w:tblStylePr>
    <w:tblStylePr w:type="band2Horz">
      <w:tcPr>
        <w:tcBorders>
          <w:insideH w:val="nil"/>
          <w:insideV w:val="nil"/>
        </w:tcBorders>
      </w:tcPr>
    </w:tblStylePr>
  </w:style>
  <w:style w:type="table" w:customStyle="1" w:styleId="744">
    <w:name w:val="Medium Shading 211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45">
    <w:name w:val="Medium Shading 2 - Accent 1111"/>
    <w:basedOn w:val="88"/>
    <w:semiHidden/>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2D7F"/>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2D7F"/>
      </w:tcPr>
    </w:tblStylePr>
    <w:tblStylePr w:type="lastCol">
      <w:rPr>
        <w:b/>
        <w:bCs/>
        <w:color w:val="FFFFFF"/>
      </w:rPr>
      <w:tcPr>
        <w:tcBorders>
          <w:left w:val="nil"/>
          <w:right w:val="nil"/>
          <w:insideH w:val="nil"/>
          <w:insideV w:val="nil"/>
        </w:tcBorders>
        <w:shd w:val="clear" w:color="auto" w:fill="4F2D7F"/>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46">
    <w:name w:val="中等深浅底纹 2 - 强调文字颜色 21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3004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30045"/>
      </w:tcPr>
    </w:tblStylePr>
    <w:tblStylePr w:type="lastCol">
      <w:rPr>
        <w:b/>
        <w:bCs/>
        <w:color w:val="FFFFFF"/>
      </w:rPr>
      <w:tcPr>
        <w:tcBorders>
          <w:left w:val="nil"/>
          <w:right w:val="nil"/>
          <w:insideH w:val="nil"/>
          <w:insideV w:val="nil"/>
        </w:tcBorders>
        <w:shd w:val="clear" w:color="auto" w:fill="C3004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47">
    <w:name w:val="中等深浅底纹 2 - 强调文字颜色 31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747678"/>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747678"/>
      </w:tcPr>
    </w:tblStylePr>
    <w:tblStylePr w:type="lastCol">
      <w:rPr>
        <w:b/>
        <w:bCs/>
        <w:color w:val="FFFFFF"/>
      </w:rPr>
      <w:tcPr>
        <w:tcBorders>
          <w:left w:val="nil"/>
          <w:right w:val="nil"/>
          <w:insideH w:val="nil"/>
          <w:insideV w:val="nil"/>
        </w:tcBorders>
        <w:shd w:val="clear" w:color="auto" w:fill="747678"/>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48">
    <w:name w:val="中等深浅底纹 2 - 强调文字颜色 41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7AB8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7AB800"/>
      </w:tcPr>
    </w:tblStylePr>
    <w:tblStylePr w:type="lastCol">
      <w:rPr>
        <w:b/>
        <w:bCs/>
        <w:color w:val="FFFFFF"/>
      </w:rPr>
      <w:tcPr>
        <w:tcBorders>
          <w:left w:val="nil"/>
          <w:right w:val="nil"/>
          <w:insideH w:val="nil"/>
          <w:insideV w:val="nil"/>
        </w:tcBorders>
        <w:shd w:val="clear" w:color="auto" w:fill="7AB8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49">
    <w:name w:val="中等深浅底纹 2 - 强调文字颜色 51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F79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F7900"/>
      </w:tcPr>
    </w:tblStylePr>
    <w:tblStylePr w:type="lastCol">
      <w:rPr>
        <w:b/>
        <w:bCs/>
        <w:color w:val="FFFFFF"/>
      </w:rPr>
      <w:tcPr>
        <w:tcBorders>
          <w:left w:val="nil"/>
          <w:right w:val="nil"/>
          <w:insideH w:val="nil"/>
          <w:insideV w:val="nil"/>
        </w:tcBorders>
        <w:shd w:val="clear" w:color="auto" w:fill="FF79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0">
    <w:name w:val="中等深浅底纹 2 - 强调文字颜色 611"/>
    <w:basedOn w:val="88"/>
    <w:qFormat/>
    <w:uiPriority w:val="64"/>
    <w:rPr>
      <w:lang w:val="en-GB" w:eastAsia="en-GB"/>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46A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46AD"/>
      </w:tcPr>
    </w:tblStylePr>
    <w:tblStylePr w:type="lastCol">
      <w:rPr>
        <w:b/>
        <w:bCs/>
        <w:color w:val="FFFFFF"/>
      </w:rPr>
      <w:tcPr>
        <w:tcBorders>
          <w:left w:val="nil"/>
          <w:right w:val="nil"/>
          <w:insideH w:val="nil"/>
          <w:insideV w:val="nil"/>
        </w:tcBorders>
        <w:shd w:val="clear" w:color="auto" w:fill="0046A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1">
    <w:name w:val="GT Table caption11"/>
    <w:basedOn w:val="332"/>
    <w:qFormat/>
    <w:uiPriority w:val="10"/>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cPr>
        <w:shd w:val="clear" w:color="auto" w:fill="003F9C"/>
      </w:tcPr>
    </w:tblStylePr>
  </w:style>
  <w:style w:type="table" w:customStyle="1" w:styleId="752">
    <w:name w:val="浅色列表 - 强调文字颜色 1111"/>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753">
    <w:name w:val="浅色列表 - 强调文字颜色 1211"/>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754">
    <w:name w:val="浅色列表 - 强调文字颜色 1311"/>
    <w:basedOn w:val="88"/>
    <w:qFormat/>
    <w:uiPriority w:val="61"/>
    <w:pPr>
      <w:spacing w:afterLines="100"/>
      <w:jc w:val="both"/>
    </w:pPr>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755">
    <w:name w:val="浅色列表 - 强调文字颜色 141"/>
    <w:basedOn w:val="88"/>
    <w:qFormat/>
    <w:uiPriority w:val="61"/>
    <w:tblPr>
      <w:tblBorders>
        <w:top w:val="single" w:color="4F2D7F" w:sz="8" w:space="0"/>
        <w:left w:val="single" w:color="4F2D7F" w:sz="8" w:space="0"/>
        <w:bottom w:val="single" w:color="4F2D7F" w:sz="8" w:space="0"/>
        <w:right w:val="single" w:color="4F2D7F" w:sz="8" w:space="0"/>
      </w:tblBorders>
    </w:tblPr>
    <w:tblStylePr w:type="firstRow">
      <w:pPr>
        <w:spacing w:before="0" w:after="0" w:line="240" w:lineRule="auto"/>
      </w:pPr>
      <w:rPr>
        <w:b/>
        <w:bCs/>
        <w:color w:val="FFFFFF"/>
      </w:rPr>
      <w:tcPr>
        <w:shd w:val="clear" w:color="auto" w:fill="4F2D7F"/>
      </w:tcPr>
    </w:tblStylePr>
    <w:tblStylePr w:type="lastRow">
      <w:pPr>
        <w:spacing w:before="0" w:after="0" w:line="240" w:lineRule="auto"/>
      </w:pPr>
      <w:rPr>
        <w:b/>
        <w:bCs/>
      </w:rPr>
      <w:tcPr>
        <w:tcBorders>
          <w:top w:val="double" w:color="4F2D7F" w:sz="6" w:space="0"/>
          <w:left w:val="single" w:color="4F2D7F" w:sz="8" w:space="0"/>
          <w:bottom w:val="single" w:color="4F2D7F" w:sz="8" w:space="0"/>
          <w:right w:val="single" w:color="4F2D7F" w:sz="8" w:space="0"/>
        </w:tcBorders>
      </w:tcPr>
    </w:tblStylePr>
    <w:tblStylePr w:type="firstCol">
      <w:rPr>
        <w:b/>
        <w:bCs/>
      </w:rPr>
    </w:tblStylePr>
    <w:tblStylePr w:type="lastCol">
      <w:rPr>
        <w:b/>
        <w:bCs/>
      </w:rPr>
    </w:tblStylePr>
    <w:tblStylePr w:type="band1Vert">
      <w:tcPr>
        <w:tcBorders>
          <w:top w:val="single" w:color="4F2D7F" w:sz="8" w:space="0"/>
          <w:left w:val="single" w:color="4F2D7F" w:sz="8" w:space="0"/>
          <w:bottom w:val="single" w:color="4F2D7F" w:sz="8" w:space="0"/>
          <w:right w:val="single" w:color="4F2D7F" w:sz="8" w:space="0"/>
        </w:tcBorders>
      </w:tcPr>
    </w:tblStylePr>
    <w:tblStylePr w:type="band1Horz">
      <w:tcPr>
        <w:tcBorders>
          <w:top w:val="single" w:color="4F2D7F" w:sz="8" w:space="0"/>
          <w:left w:val="single" w:color="4F2D7F" w:sz="8" w:space="0"/>
          <w:bottom w:val="single" w:color="4F2D7F" w:sz="8" w:space="0"/>
          <w:right w:val="single" w:color="4F2D7F" w:sz="8" w:space="0"/>
        </w:tcBorders>
      </w:tcPr>
    </w:tblStylePr>
  </w:style>
  <w:style w:type="table" w:customStyle="1" w:styleId="756">
    <w:name w:val="浅色列表 - 强调文字颜色 221"/>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757">
    <w:name w:val="浅色列表 - 强调文字颜色 231"/>
    <w:basedOn w:val="88"/>
    <w:qFormat/>
    <w:uiPriority w:val="61"/>
    <w:rPr>
      <w:lang w:val="en-GB" w:eastAsia="en-GB"/>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customStyle="1" w:styleId="758">
    <w:name w:val="浅色列表 - 强调文字颜色 1121"/>
    <w:basedOn w:val="88"/>
    <w:qFormat/>
    <w:uiPriority w:val="61"/>
    <w:rPr>
      <w:rFonts w:ascii="Garamond" w:hAnsi="Garamond"/>
    </w:rPr>
    <w:tblPr>
      <w:tblBorders>
        <w:top w:val="single" w:color="B1059D" w:sz="8" w:space="0"/>
        <w:left w:val="single" w:color="B1059D" w:sz="8" w:space="0"/>
        <w:bottom w:val="single" w:color="B1059D" w:sz="8" w:space="0"/>
        <w:right w:val="single" w:color="B1059D" w:sz="8" w:space="0"/>
      </w:tblBorders>
    </w:tblPr>
    <w:tblStylePr w:type="firstRow">
      <w:pPr>
        <w:spacing w:before="0" w:after="0" w:line="240" w:lineRule="auto"/>
      </w:pPr>
      <w:rPr>
        <w:b/>
        <w:bCs/>
        <w:color w:val="C30045"/>
      </w:rPr>
      <w:tcPr>
        <w:shd w:val="clear" w:color="auto" w:fill="B1059D"/>
      </w:tcPr>
    </w:tblStylePr>
    <w:tblStylePr w:type="lastRow">
      <w:pPr>
        <w:spacing w:before="0" w:after="0" w:line="240" w:lineRule="auto"/>
      </w:pPr>
      <w:rPr>
        <w:b/>
        <w:bCs/>
      </w:rPr>
      <w:tcPr>
        <w:tcBorders>
          <w:top w:val="double" w:color="B1059D" w:sz="6" w:space="0"/>
          <w:left w:val="single" w:color="B1059D" w:sz="8" w:space="0"/>
          <w:bottom w:val="single" w:color="B1059D" w:sz="8" w:space="0"/>
          <w:right w:val="single" w:color="B1059D" w:sz="8" w:space="0"/>
        </w:tcBorders>
      </w:tcPr>
    </w:tblStylePr>
    <w:tblStylePr w:type="firstCol">
      <w:rPr>
        <w:b/>
        <w:bCs/>
      </w:rPr>
    </w:tblStylePr>
    <w:tblStylePr w:type="lastCol">
      <w:rPr>
        <w:b/>
        <w:bCs/>
      </w:rPr>
    </w:tblStylePr>
    <w:tblStylePr w:type="band1Vert">
      <w:tcPr>
        <w:tcBorders>
          <w:top w:val="single" w:color="B1059D" w:sz="8" w:space="0"/>
          <w:left w:val="single" w:color="B1059D" w:sz="8" w:space="0"/>
          <w:bottom w:val="single" w:color="B1059D" w:sz="8" w:space="0"/>
          <w:right w:val="single" w:color="B1059D" w:sz="8" w:space="0"/>
        </w:tcBorders>
      </w:tcPr>
    </w:tblStylePr>
    <w:tblStylePr w:type="band1Horz">
      <w:tcPr>
        <w:tcBorders>
          <w:top w:val="single" w:color="B1059D" w:sz="8" w:space="0"/>
          <w:left w:val="single" w:color="B1059D" w:sz="8" w:space="0"/>
          <w:bottom w:val="single" w:color="B1059D" w:sz="8" w:space="0"/>
          <w:right w:val="single" w:color="B1059D" w:sz="8" w:space="0"/>
        </w:tcBorders>
      </w:tcPr>
    </w:tblStylePr>
  </w:style>
  <w:style w:type="table" w:customStyle="1" w:styleId="759">
    <w:name w:val="浅色列表 - 强调文字颜色 241"/>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table" w:customStyle="1" w:styleId="760">
    <w:name w:val="浅色列表 - 强调文字颜色 242"/>
    <w:basedOn w:val="88"/>
    <w:qFormat/>
    <w:uiPriority w:val="61"/>
    <w:rPr>
      <w:rFonts w:ascii="Garamond" w:hAnsi="Garamond"/>
    </w:rPr>
    <w:tblPr>
      <w:tblBorders>
        <w:top w:val="single" w:color="FF7900" w:sz="8" w:space="0"/>
        <w:left w:val="single" w:color="FF7900" w:sz="8" w:space="0"/>
        <w:bottom w:val="single" w:color="FF7900" w:sz="8" w:space="0"/>
        <w:right w:val="single" w:color="FF7900" w:sz="8" w:space="0"/>
      </w:tblBorders>
    </w:tblPr>
    <w:tblStylePr w:type="firstRow">
      <w:pPr>
        <w:spacing w:before="0" w:after="0" w:line="240" w:lineRule="auto"/>
      </w:pPr>
      <w:rPr>
        <w:b/>
        <w:bCs/>
        <w:color w:val="C30045"/>
      </w:rPr>
      <w:tcPr>
        <w:shd w:val="clear" w:color="auto" w:fill="FF7900"/>
      </w:tcPr>
    </w:tblStylePr>
    <w:tblStylePr w:type="lastRow">
      <w:pPr>
        <w:spacing w:before="0" w:after="0" w:line="240" w:lineRule="auto"/>
      </w:pPr>
      <w:rPr>
        <w:b/>
        <w:bCs/>
      </w:rPr>
      <w:tcPr>
        <w:tcBorders>
          <w:top w:val="double" w:color="FF7900" w:sz="6" w:space="0"/>
          <w:left w:val="single" w:color="FF7900" w:sz="8" w:space="0"/>
          <w:bottom w:val="single" w:color="FF7900" w:sz="8" w:space="0"/>
          <w:right w:val="single" w:color="FF7900" w:sz="8" w:space="0"/>
        </w:tcBorders>
      </w:tcPr>
    </w:tblStylePr>
    <w:tblStylePr w:type="firstCol">
      <w:rPr>
        <w:b/>
        <w:bCs/>
      </w:rPr>
    </w:tblStylePr>
    <w:tblStylePr w:type="lastCol">
      <w:rPr>
        <w:b/>
        <w:bCs/>
      </w:rPr>
    </w:tblStylePr>
    <w:tblStylePr w:type="band1Vert">
      <w:tcPr>
        <w:tcBorders>
          <w:top w:val="single" w:color="FF7900" w:sz="8" w:space="0"/>
          <w:left w:val="single" w:color="FF7900" w:sz="8" w:space="0"/>
          <w:bottom w:val="single" w:color="FF7900" w:sz="8" w:space="0"/>
          <w:right w:val="single" w:color="FF7900" w:sz="8" w:space="0"/>
        </w:tcBorders>
      </w:tcPr>
    </w:tblStylePr>
    <w:tblStylePr w:type="band1Horz">
      <w:tcPr>
        <w:tcBorders>
          <w:top w:val="single" w:color="FF7900" w:sz="8" w:space="0"/>
          <w:left w:val="single" w:color="FF7900" w:sz="8" w:space="0"/>
          <w:bottom w:val="single" w:color="FF7900" w:sz="8" w:space="0"/>
          <w:right w:val="single" w:color="FF7900" w:sz="8" w:space="0"/>
        </w:tcBorders>
      </w:tcPr>
    </w:tblStylePr>
  </w:style>
  <w:style w:type="character" w:customStyle="1" w:styleId="761">
    <w:name w:val="apple-converted-space"/>
    <w:basedOn w:val="211"/>
    <w:qFormat/>
    <w:uiPriority w:val="0"/>
  </w:style>
  <w:style w:type="paragraph" w:customStyle="1" w:styleId="762">
    <w:name w:val="xl10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ABF8F"/>
      <w:spacing w:before="100" w:beforeAutospacing="1" w:after="100" w:afterAutospacing="1"/>
      <w:jc w:val="left"/>
    </w:pPr>
    <w:rPr>
      <w:rFonts w:ascii="宋体" w:hAnsi="宋体" w:eastAsia="宋体" w:cs="宋体"/>
      <w:kern w:val="0"/>
      <w:sz w:val="20"/>
      <w:szCs w:val="20"/>
    </w:rPr>
  </w:style>
  <w:style w:type="paragraph" w:customStyle="1" w:styleId="763">
    <w:name w:val="xl106"/>
    <w:basedOn w:val="1"/>
    <w:qFormat/>
    <w:uiPriority w:val="0"/>
    <w:pPr>
      <w:widowControl/>
      <w:pBdr>
        <w:top w:val="single" w:color="000000" w:sz="4" w:space="0"/>
        <w:bottom w:val="single" w:color="000000" w:sz="4" w:space="0"/>
        <w:right w:val="single" w:color="000000" w:sz="4" w:space="0"/>
      </w:pBdr>
      <w:shd w:val="clear" w:color="000000" w:fill="FABF8F"/>
      <w:spacing w:before="100" w:beforeAutospacing="1" w:after="100" w:afterAutospacing="1"/>
      <w:jc w:val="right"/>
    </w:pPr>
    <w:rPr>
      <w:rFonts w:ascii="宋体" w:hAnsi="宋体" w:eastAsia="宋体" w:cs="宋体"/>
      <w:kern w:val="0"/>
      <w:sz w:val="20"/>
      <w:szCs w:val="20"/>
    </w:rPr>
  </w:style>
  <w:style w:type="paragraph" w:customStyle="1" w:styleId="764">
    <w:name w:val="xl107"/>
    <w:basedOn w:val="1"/>
    <w:qFormat/>
    <w:uiPriority w:val="0"/>
    <w:pPr>
      <w:widowControl/>
      <w:pBdr>
        <w:top w:val="single" w:color="000000" w:sz="4" w:space="0"/>
        <w:bottom w:val="single" w:color="000000" w:sz="4" w:space="0"/>
      </w:pBdr>
      <w:shd w:val="clear" w:color="000000" w:fill="FABF8F"/>
      <w:spacing w:before="100" w:beforeAutospacing="1" w:after="100" w:afterAutospacing="1"/>
      <w:jc w:val="right"/>
    </w:pPr>
    <w:rPr>
      <w:rFonts w:ascii="宋体" w:hAnsi="宋体" w:eastAsia="宋体" w:cs="宋体"/>
      <w:kern w:val="0"/>
      <w:sz w:val="20"/>
      <w:szCs w:val="20"/>
    </w:rPr>
  </w:style>
  <w:style w:type="paragraph" w:customStyle="1" w:styleId="765">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ABF8F"/>
      <w:spacing w:before="100" w:beforeAutospacing="1" w:after="100" w:afterAutospacing="1"/>
      <w:jc w:val="center"/>
      <w:textAlignment w:val="bottom"/>
    </w:pPr>
    <w:rPr>
      <w:rFonts w:ascii="宋体" w:hAnsi="宋体" w:eastAsia="宋体" w:cs="宋体"/>
      <w:kern w:val="0"/>
      <w:sz w:val="20"/>
      <w:szCs w:val="20"/>
    </w:rPr>
  </w:style>
  <w:style w:type="paragraph" w:customStyle="1" w:styleId="76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67">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eastAsia="宋体" w:cs="Arial"/>
      <w:b/>
      <w:bCs/>
      <w:kern w:val="0"/>
      <w:sz w:val="18"/>
      <w:szCs w:val="18"/>
    </w:rPr>
  </w:style>
  <w:style w:type="paragraph" w:customStyle="1" w:styleId="768">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Arial" w:hAnsi="Arial" w:eastAsia="宋体" w:cs="Arial"/>
      <w:b/>
      <w:bCs/>
      <w:kern w:val="0"/>
      <w:sz w:val="18"/>
      <w:szCs w:val="18"/>
    </w:rPr>
  </w:style>
  <w:style w:type="paragraph" w:customStyle="1" w:styleId="769">
    <w:name w:val="xl112"/>
    <w:basedOn w:val="1"/>
    <w:uiPriority w:val="0"/>
    <w:pPr>
      <w:widowControl/>
      <w:pBdr>
        <w:top w:val="single" w:color="auto" w:sz="4" w:space="0"/>
        <w:left w:val="single" w:color="auto" w:sz="4" w:space="0"/>
        <w:bottom w:val="single" w:color="auto" w:sz="4" w:space="0"/>
        <w:right w:val="single" w:color="auto" w:sz="4" w:space="0"/>
      </w:pBdr>
      <w:shd w:val="clear" w:color="000000" w:fill="FABF8F"/>
      <w:spacing w:before="100" w:beforeAutospacing="1" w:after="100" w:afterAutospacing="1"/>
      <w:jc w:val="center"/>
      <w:textAlignment w:val="bottom"/>
    </w:pPr>
    <w:rPr>
      <w:rFonts w:ascii="宋体" w:hAnsi="宋体" w:eastAsia="宋体" w:cs="宋体"/>
      <w:kern w:val="0"/>
      <w:sz w:val="20"/>
      <w:szCs w:val="20"/>
    </w:rPr>
  </w:style>
  <w:style w:type="paragraph" w:customStyle="1" w:styleId="770">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771">
    <w:name w:val="xl11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72">
    <w:name w:val="xl11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73">
    <w:name w:val="xl11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74">
    <w:name w:val="xl117"/>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75">
    <w:name w:val="xl118"/>
    <w:basedOn w:val="1"/>
    <w:qFormat/>
    <w:uiPriority w:val="0"/>
    <w:pPr>
      <w:widowControl/>
      <w:pBdr>
        <w:lef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76">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77">
    <w:name w:val="xl120"/>
    <w:basedOn w:val="1"/>
    <w:uiPriority w:val="0"/>
    <w:pPr>
      <w:widowControl/>
      <w:spacing w:before="100" w:beforeAutospacing="1" w:after="100" w:afterAutospacing="1"/>
      <w:jc w:val="center"/>
      <w:textAlignment w:val="bottom"/>
    </w:pPr>
    <w:rPr>
      <w:rFonts w:ascii="宋体" w:hAnsi="宋体" w:eastAsia="宋体" w:cs="宋体"/>
      <w:b/>
      <w:bCs/>
      <w:kern w:val="0"/>
      <w:sz w:val="30"/>
      <w:szCs w:val="30"/>
    </w:rPr>
  </w:style>
  <w:style w:type="paragraph" w:customStyle="1" w:styleId="778">
    <w:name w:val="xl121"/>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kern w:val="0"/>
      <w:sz w:val="20"/>
      <w:szCs w:val="20"/>
    </w:rPr>
  </w:style>
  <w:style w:type="paragraph" w:customStyle="1" w:styleId="779">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80">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81">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82">
    <w:name w:val="xl12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83">
    <w:name w:val="xl12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table" w:customStyle="1" w:styleId="784">
    <w:name w:val="浅色列表 - 强调文字颜色 1141"/>
    <w:basedOn w:val="8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customStyle="1" w:styleId="785">
    <w:name w:val="列出段落12"/>
    <w:basedOn w:val="1"/>
    <w:qFormat/>
    <w:uiPriority w:val="0"/>
    <w:pPr>
      <w:widowControl/>
      <w:spacing w:before="100" w:beforeAutospacing="1" w:after="100" w:afterAutospacing="1" w:line="240" w:lineRule="atLeast"/>
      <w:ind w:left="720"/>
      <w:contextualSpacing/>
      <w:jc w:val="left"/>
    </w:pPr>
    <w:rPr>
      <w:rFonts w:ascii="Garamond" w:hAnsi="Garamond" w:eastAsia="黑体" w:cs="Times New Roman"/>
      <w:kern w:val="0"/>
      <w:sz w:val="24"/>
      <w:szCs w:val="24"/>
    </w:rPr>
  </w:style>
  <w:style w:type="paragraph" w:customStyle="1" w:styleId="786">
    <w:name w:val="列出段落11"/>
    <w:basedOn w:val="1"/>
    <w:qFormat/>
    <w:uiPriority w:val="0"/>
    <w:pPr>
      <w:ind w:firstLine="420" w:firstLineChars="200"/>
    </w:pPr>
    <w:rPr>
      <w:rFonts w:ascii="Calibri" w:hAnsi="Calibri" w:eastAsia="宋体" w:cs="Times New Roman"/>
      <w:szCs w:val="21"/>
    </w:rPr>
  </w:style>
  <w:style w:type="paragraph" w:customStyle="1" w:styleId="787">
    <w:name w:val="TOC 标题11"/>
    <w:basedOn w:val="3"/>
    <w:next w:val="1"/>
    <w:unhideWhenUsed/>
    <w:qFormat/>
    <w:uiPriority w:val="39"/>
    <w:pPr>
      <w:widowControl/>
      <w:numPr>
        <w:numId w:val="0"/>
      </w:numPr>
      <w:adjustRightInd/>
      <w:spacing w:before="0" w:after="57" w:line="240" w:lineRule="auto"/>
      <w:textAlignment w:val="auto"/>
      <w:outlineLvl w:val="9"/>
    </w:pPr>
    <w:rPr>
      <w:rFonts w:asciiTheme="majorHAnsi" w:hAnsiTheme="majorHAnsi" w:eastAsiaTheme="majorEastAsia" w:cstheme="majorBidi"/>
      <w:color w:val="1F497D" w:themeColor="text2"/>
      <w:kern w:val="0"/>
      <w:sz w:val="32"/>
      <w:szCs w:val="28"/>
      <w:lang w:val="en-GB" w:eastAsia="en-GB"/>
    </w:rPr>
  </w:style>
  <w:style w:type="paragraph" w:customStyle="1" w:styleId="788">
    <w:name w:val="列出段落21"/>
    <w:basedOn w:val="1"/>
    <w:qFormat/>
    <w:uiPriority w:val="0"/>
    <w:pPr>
      <w:spacing w:after="200" w:line="276" w:lineRule="auto"/>
      <w:ind w:firstLine="420" w:firstLineChars="200"/>
    </w:pPr>
    <w:rPr>
      <w:rFonts w:ascii="Times New Roman" w:hAnsi="Times New Roman" w:eastAsia="宋体" w:cs="Times New Roman"/>
      <w:szCs w:val="20"/>
    </w:rPr>
  </w:style>
  <w:style w:type="character" w:customStyle="1" w:styleId="789">
    <w:name w:val="纯文本 Char2"/>
    <w:qFormat/>
    <w:uiPriority w:val="0"/>
    <w:rPr>
      <w:rFonts w:ascii="宋体" w:hAnsi="Courier New"/>
    </w:rPr>
  </w:style>
  <w:style w:type="paragraph" w:customStyle="1" w:styleId="790">
    <w:name w:val="Char Char1 Char"/>
    <w:next w:val="517"/>
    <w:qFormat/>
    <w:uiPriority w:val="0"/>
    <w:pPr>
      <w:shd w:val="clear" w:color="auto" w:fill="000080"/>
    </w:pPr>
    <w:rPr>
      <w:rFonts w:ascii="Tahoma" w:hAnsi="Tahoma" w:eastAsia="宋体" w:cs="Times New Roman"/>
      <w:kern w:val="2"/>
      <w:sz w:val="24"/>
      <w:szCs w:val="24"/>
      <w:lang w:val="en-US" w:eastAsia="zh-CN" w:bidi="ar-SA"/>
    </w:rPr>
  </w:style>
  <w:style w:type="paragraph" w:customStyle="1" w:styleId="791">
    <w:name w:val="Char Char Char Char Char Char Char Char Char Char Char Char"/>
    <w:basedOn w:val="1"/>
    <w:qFormat/>
    <w:uiPriority w:val="0"/>
    <w:rPr>
      <w:rFonts w:ascii="宋体" w:hAnsi="宋体" w:eastAsia="宋体" w:cs="Courier New"/>
      <w:sz w:val="32"/>
      <w:szCs w:val="32"/>
    </w:rPr>
  </w:style>
  <w:style w:type="paragraph" w:customStyle="1" w:styleId="792">
    <w:name w:val="样式 样式 Arial 小四 加粗 首行缩进:  0.85 厘米 行距: 1.5 倍行距 + 非加粗"/>
    <w:basedOn w:val="1"/>
    <w:qFormat/>
    <w:uiPriority w:val="0"/>
    <w:pPr>
      <w:adjustRightInd w:val="0"/>
      <w:spacing w:beforeLines="50" w:afterLines="50" w:line="360" w:lineRule="auto"/>
      <w:ind w:firstLine="735" w:firstLineChars="350"/>
      <w:textAlignment w:val="baseline"/>
    </w:pPr>
    <w:rPr>
      <w:rFonts w:ascii="Times New Roman" w:hAnsi="Times New Roman" w:eastAsia="宋体" w:cs="Times New Roman"/>
      <w:bCs/>
      <w:color w:val="FF0000"/>
      <w:kern w:val="0"/>
      <w:szCs w:val="21"/>
    </w:rPr>
  </w:style>
  <w:style w:type="paragraph" w:customStyle="1" w:styleId="793">
    <w:name w:val="纯文本2"/>
    <w:basedOn w:val="1"/>
    <w:uiPriority w:val="0"/>
    <w:pPr>
      <w:autoSpaceDE w:val="0"/>
      <w:autoSpaceDN w:val="0"/>
      <w:adjustRightInd w:val="0"/>
      <w:snapToGrid w:val="0"/>
      <w:spacing w:before="156" w:after="156" w:line="300" w:lineRule="auto"/>
      <w:ind w:firstLine="200" w:firstLineChars="200"/>
    </w:pPr>
    <w:rPr>
      <w:rFonts w:ascii="Times New Roman" w:hAnsi="Times New Roman" w:eastAsia="宋体" w:cs="Times New Roman"/>
      <w:kern w:val="0"/>
      <w:sz w:val="24"/>
      <w:szCs w:val="20"/>
    </w:rPr>
  </w:style>
  <w:style w:type="paragraph" w:customStyle="1" w:styleId="794">
    <w:name w:val="Body + extra space"/>
    <w:basedOn w:val="1"/>
    <w:uiPriority w:val="99"/>
    <w:pPr>
      <w:widowControl/>
      <w:overflowPunct w:val="0"/>
      <w:autoSpaceDE w:val="0"/>
      <w:autoSpaceDN w:val="0"/>
      <w:adjustRightInd w:val="0"/>
      <w:spacing w:after="480" w:line="260" w:lineRule="exact"/>
      <w:jc w:val="left"/>
    </w:pPr>
    <w:rPr>
      <w:rFonts w:ascii="Arial" w:hAnsi="Arial" w:eastAsia="MS Mincho" w:cs="Arial"/>
      <w:kern w:val="0"/>
      <w:sz w:val="20"/>
      <w:szCs w:val="20"/>
      <w:lang w:eastAsia="en-US"/>
    </w:rPr>
  </w:style>
  <w:style w:type="paragraph" w:customStyle="1" w:styleId="795">
    <w:name w:val="Body"/>
    <w:basedOn w:val="1"/>
    <w:qFormat/>
    <w:uiPriority w:val="99"/>
    <w:pPr>
      <w:widowControl/>
      <w:overflowPunct w:val="0"/>
      <w:autoSpaceDE w:val="0"/>
      <w:autoSpaceDN w:val="0"/>
      <w:adjustRightInd w:val="0"/>
      <w:spacing w:after="240" w:line="260" w:lineRule="exact"/>
      <w:jc w:val="left"/>
    </w:pPr>
    <w:rPr>
      <w:rFonts w:ascii="Arial" w:hAnsi="Arial" w:eastAsia="MS Mincho" w:cs="Arial"/>
      <w:kern w:val="0"/>
      <w:sz w:val="20"/>
      <w:szCs w:val="20"/>
      <w:lang w:eastAsia="en-US"/>
    </w:rPr>
  </w:style>
  <w:style w:type="paragraph" w:customStyle="1" w:styleId="796">
    <w:name w:val="[基本段落]"/>
    <w:basedOn w:val="1"/>
    <w:uiPriority w:val="99"/>
    <w:pPr>
      <w:autoSpaceDE w:val="0"/>
      <w:autoSpaceDN w:val="0"/>
      <w:adjustRightInd w:val="0"/>
      <w:spacing w:before="120" w:after="120" w:line="288" w:lineRule="auto"/>
      <w:jc w:val="left"/>
      <w:textAlignment w:val="center"/>
    </w:pPr>
    <w:rPr>
      <w:rFonts w:ascii="宋体" w:hAnsi="Calibri" w:eastAsia="黑体" w:cs="宋体"/>
      <w:color w:val="000000"/>
      <w:kern w:val="0"/>
      <w:sz w:val="24"/>
      <w:szCs w:val="24"/>
      <w:lang w:val="zh-CN"/>
    </w:rPr>
  </w:style>
  <w:style w:type="paragraph" w:customStyle="1" w:styleId="797">
    <w:name w:val="doc-a2"/>
    <w:basedOn w:val="1"/>
    <w:qFormat/>
    <w:uiPriority w:val="0"/>
    <w:pPr>
      <w:widowControl/>
      <w:spacing w:before="225" w:after="100" w:afterAutospacing="1" w:line="450" w:lineRule="atLeast"/>
      <w:ind w:firstLine="480"/>
      <w:jc w:val="left"/>
    </w:pPr>
    <w:rPr>
      <w:rFonts w:ascii="微软雅黑" w:hAnsi="微软雅黑" w:eastAsia="微软雅黑" w:cs="宋体"/>
      <w:kern w:val="0"/>
      <w:sz w:val="24"/>
      <w:szCs w:val="24"/>
    </w:rPr>
  </w:style>
  <w:style w:type="paragraph" w:customStyle="1" w:styleId="798">
    <w:name w:val="doc-a"/>
    <w:basedOn w:val="1"/>
    <w:qFormat/>
    <w:uiPriority w:val="0"/>
    <w:pPr>
      <w:widowControl/>
      <w:spacing w:after="150"/>
      <w:jc w:val="left"/>
    </w:pPr>
    <w:rPr>
      <w:rFonts w:ascii="宋体" w:hAnsi="宋体" w:eastAsia="宋体" w:cs="宋体"/>
      <w:kern w:val="0"/>
      <w:sz w:val="24"/>
      <w:szCs w:val="24"/>
    </w:rPr>
  </w:style>
  <w:style w:type="character" w:customStyle="1" w:styleId="799">
    <w:name w:val="highlight"/>
    <w:basedOn w:val="211"/>
    <w:qFormat/>
    <w:uiPriority w:val="0"/>
  </w:style>
  <w:style w:type="character" w:customStyle="1" w:styleId="800">
    <w:name w:val="标题2"/>
    <w:basedOn w:val="211"/>
    <w:qFormat/>
    <w:uiPriority w:val="0"/>
  </w:style>
  <w:style w:type="paragraph" w:customStyle="1" w:styleId="801">
    <w:name w:val="title1"/>
    <w:basedOn w:val="1"/>
    <w:uiPriority w:val="0"/>
    <w:pPr>
      <w:widowControl/>
      <w:spacing w:before="100" w:beforeAutospacing="1" w:after="100" w:afterAutospacing="1"/>
      <w:jc w:val="left"/>
    </w:pPr>
    <w:rPr>
      <w:rFonts w:ascii="宋体" w:hAnsi="宋体" w:eastAsia="宋体" w:cs="宋体"/>
      <w:kern w:val="0"/>
      <w:sz w:val="24"/>
      <w:szCs w:val="24"/>
    </w:rPr>
  </w:style>
  <w:style w:type="table" w:customStyle="1" w:styleId="802">
    <w:name w:val="网格型14"/>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3">
    <w:name w:val="标题3"/>
    <w:basedOn w:val="211"/>
    <w:uiPriority w:val="0"/>
  </w:style>
  <w:style w:type="character" w:customStyle="1" w:styleId="804">
    <w:name w:val="sect2title"/>
    <w:basedOn w:val="211"/>
    <w:qFormat/>
    <w:uiPriority w:val="0"/>
  </w:style>
  <w:style w:type="character" w:customStyle="1" w:styleId="805">
    <w:name w:val="标题5"/>
    <w:basedOn w:val="211"/>
    <w:qFormat/>
    <w:uiPriority w:val="0"/>
  </w:style>
  <w:style w:type="table" w:customStyle="1" w:styleId="806">
    <w:name w:val="网格型15"/>
    <w:basedOn w:val="88"/>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网格型16"/>
    <w:basedOn w:val="88"/>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网格型17"/>
    <w:basedOn w:val="88"/>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网格型18"/>
    <w:basedOn w:val="88"/>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网格型19"/>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811">
    <w:name w:val="未处理的提及1"/>
    <w:basedOn w:val="211"/>
    <w:semiHidden/>
    <w:unhideWhenUsed/>
    <w:qFormat/>
    <w:uiPriority w:val="99"/>
    <w:rPr>
      <w:color w:val="605E5C"/>
      <w:shd w:val="clear" w:color="auto" w:fill="E1DFDD"/>
    </w:rPr>
  </w:style>
  <w:style w:type="character" w:customStyle="1" w:styleId="812">
    <w:name w:val="15"/>
    <w:basedOn w:val="211"/>
    <w:uiPriority w:val="0"/>
    <w:rPr>
      <w:rFonts w:hint="default" w:ascii="Calibri" w:hAnsi="Calibri" w:cs="Calibri"/>
      <w:color w:val="0000FF"/>
      <w:u w:val="single"/>
    </w:rPr>
  </w:style>
  <w:style w:type="character" w:customStyle="1" w:styleId="813">
    <w:name w:val="16"/>
    <w:basedOn w:val="211"/>
    <w:qFormat/>
    <w:uiPriority w:val="0"/>
    <w:rPr>
      <w:rFonts w:hint="default" w:ascii="Calibri" w:hAnsi="Calibri" w:cs="Calibri"/>
      <w:color w:val="800080"/>
      <w:u w:val="single"/>
    </w:rPr>
  </w:style>
  <w:style w:type="paragraph" w:customStyle="1" w:styleId="814">
    <w:name w:val="List Paragraph2"/>
    <w:basedOn w:val="1"/>
    <w:qFormat/>
    <w:uiPriority w:val="0"/>
    <w:pPr>
      <w:widowControl/>
      <w:adjustRightInd w:val="0"/>
      <w:snapToGrid w:val="0"/>
      <w:spacing w:before="100" w:beforeAutospacing="1" w:after="200"/>
      <w:ind w:firstLine="420" w:firstLineChars="200"/>
      <w:jc w:val="left"/>
    </w:pPr>
    <w:rPr>
      <w:rFonts w:ascii="Tahoma" w:hAnsi="Tahoma" w:eastAsia="微软雅黑" w:cs="Times New Roman"/>
      <w:kern w:val="0"/>
      <w:sz w:val="22"/>
    </w:rPr>
  </w:style>
  <w:style w:type="character" w:customStyle="1" w:styleId="815">
    <w:name w:val="pages"/>
    <w:basedOn w:val="211"/>
    <w:uiPriority w:val="0"/>
    <w:rPr>
      <w:b/>
      <w:color w:val="333333"/>
      <w:shd w:val="clear" w:color="auto" w:fill="F1F1F1"/>
    </w:rPr>
  </w:style>
  <w:style w:type="character" w:customStyle="1" w:styleId="816">
    <w:name w:val="current"/>
    <w:basedOn w:val="211"/>
    <w:uiPriority w:val="0"/>
    <w:rPr>
      <w:b/>
      <w:color w:val="FFFFFF"/>
      <w:shd w:val="clear" w:color="auto" w:fill="1E56A8"/>
    </w:rPr>
  </w:style>
  <w:style w:type="character" w:customStyle="1" w:styleId="817">
    <w:name w:val="extend"/>
    <w:basedOn w:val="211"/>
    <w:uiPriority w:val="0"/>
    <w:rPr>
      <w:color w:val="BBBBBB"/>
    </w:rPr>
  </w:style>
  <w:style w:type="character" w:customStyle="1" w:styleId="818">
    <w:name w:val="hover"/>
    <w:basedOn w:val="211"/>
    <w:uiPriority w:val="0"/>
  </w:style>
  <w:style w:type="character" w:customStyle="1" w:styleId="819">
    <w:name w:val="hover17"/>
    <w:basedOn w:val="211"/>
    <w:uiPriority w:val="0"/>
  </w:style>
  <w:style w:type="character" w:customStyle="1" w:styleId="820">
    <w:name w:val="hover38"/>
    <w:basedOn w:val="211"/>
    <w:uiPriority w:val="0"/>
  </w:style>
  <w:style w:type="character" w:customStyle="1" w:styleId="821">
    <w:name w:val="xxgk-t-r-lm3-sp2"/>
    <w:basedOn w:val="211"/>
    <w:uiPriority w:val="0"/>
  </w:style>
  <w:style w:type="character" w:customStyle="1" w:styleId="822">
    <w:name w:val="zx-xuan2"/>
    <w:basedOn w:val="211"/>
    <w:uiPriority w:val="0"/>
    <w:rPr>
      <w:shd w:val="clear" w:color="auto" w:fill="FFFFFF"/>
    </w:rPr>
  </w:style>
  <w:style w:type="character" w:customStyle="1" w:styleId="823">
    <w:name w:val="xxgk-t-r-lm3-sp1"/>
    <w:basedOn w:val="211"/>
    <w:uiPriority w:val="0"/>
  </w:style>
  <w:style w:type="character" w:customStyle="1" w:styleId="824">
    <w:name w:val="xxgk-t-r-lm3-sp3"/>
    <w:basedOn w:val="211"/>
    <w:uiPriority w:val="0"/>
  </w:style>
  <w:style w:type="character" w:customStyle="1" w:styleId="825">
    <w:name w:val="xxgk-t-r-lm3-sp5"/>
    <w:basedOn w:val="211"/>
    <w:uiPriority w:val="0"/>
  </w:style>
  <w:style w:type="character" w:customStyle="1" w:styleId="826">
    <w:name w:val="xxgk-t-r-lm3-sp4"/>
    <w:basedOn w:val="211"/>
    <w:uiPriority w:val="0"/>
  </w:style>
  <w:style w:type="character" w:customStyle="1" w:styleId="827">
    <w:name w:val="xxgk-t-r-lm3-sp6"/>
    <w:basedOn w:val="211"/>
    <w:uiPriority w:val="0"/>
  </w:style>
  <w:style w:type="character" w:customStyle="1" w:styleId="828">
    <w:name w:val="xxgk-t-r-lm3-sp7"/>
    <w:basedOn w:val="211"/>
    <w:uiPriority w:val="0"/>
  </w:style>
  <w:style w:type="character" w:customStyle="1" w:styleId="829">
    <w:name w:val="zx-xuan3"/>
    <w:basedOn w:val="211"/>
    <w:uiPriority w:val="0"/>
    <w:rPr>
      <w:shd w:val="clear" w:color="auto" w:fill="2957A2"/>
    </w:rPr>
  </w:style>
  <w:style w:type="paragraph" w:customStyle="1" w:styleId="830">
    <w:name w:val="标题 31"/>
    <w:basedOn w:val="1"/>
    <w:next w:val="1"/>
    <w:qFormat/>
    <w:uiPriority w:val="9"/>
    <w:pPr>
      <w:keepNext/>
      <w:keepLines/>
      <w:spacing w:before="260" w:after="260" w:line="416" w:lineRule="auto"/>
      <w:outlineLvl w:val="2"/>
    </w:pPr>
    <w:rPr>
      <w:rFonts w:ascii="Times New Roman" w:hAnsi="Times New Roman" w:eastAsia="宋体"/>
      <w:b/>
      <w:bCs/>
      <w:sz w:val="32"/>
      <w:szCs w:val="32"/>
    </w:rPr>
  </w:style>
  <w:style w:type="character" w:customStyle="1" w:styleId="831">
    <w:name w:val="txt"/>
    <w:basedOn w:val="211"/>
    <w:uiPriority w:val="0"/>
    <w:rPr>
      <w:color w:val="F1F1F1"/>
    </w:rPr>
  </w:style>
  <w:style w:type="character" w:customStyle="1" w:styleId="832">
    <w:name w:val="txt1"/>
    <w:basedOn w:val="211"/>
    <w:uiPriority w:val="0"/>
    <w:rPr>
      <w:color w:val="F1F1F1"/>
    </w:rPr>
  </w:style>
  <w:style w:type="character" w:customStyle="1" w:styleId="833">
    <w:name w:val="txtbg"/>
    <w:basedOn w:val="211"/>
    <w:uiPriority w:val="0"/>
    <w:rPr>
      <w:shd w:val="clear" w:color="auto" w:fill="000000"/>
    </w:rPr>
  </w:style>
  <w:style w:type="character" w:customStyle="1" w:styleId="834">
    <w:name w:val="txtbg1"/>
    <w:basedOn w:val="211"/>
    <w:uiPriority w:val="0"/>
    <w:rPr>
      <w:shd w:val="clear" w:color="auto" w:fill="000000"/>
    </w:rPr>
  </w:style>
  <w:style w:type="character" w:customStyle="1" w:styleId="835">
    <w:name w:val="llcs_lm"/>
    <w:basedOn w:val="211"/>
    <w:uiPriority w:val="0"/>
    <w:rPr>
      <w:vanish/>
    </w:rPr>
  </w:style>
  <w:style w:type="character" w:customStyle="1" w:styleId="836">
    <w:name w:val="llcs"/>
    <w:basedOn w:val="211"/>
    <w:uiPriority w:val="0"/>
    <w:rPr>
      <w:vanish/>
    </w:rPr>
  </w:style>
  <w:style w:type="character" w:customStyle="1" w:styleId="837">
    <w:name w:val="sharebtn_m"/>
    <w:basedOn w:val="211"/>
    <w:uiPriority w:val="0"/>
    <w:rPr>
      <w:vanish/>
    </w:rPr>
  </w:style>
  <w:style w:type="character" w:customStyle="1" w:styleId="838">
    <w:name w:val="llcs2"/>
    <w:basedOn w:val="211"/>
    <w:uiPriority w:val="0"/>
    <w:rPr>
      <w:vanish/>
      <w:color w:val="666666"/>
    </w:rPr>
  </w:style>
  <w:style w:type="character" w:customStyle="1" w:styleId="839">
    <w:name w:val="f"/>
    <w:basedOn w:val="211"/>
    <w:uiPriority w:val="0"/>
  </w:style>
  <w:style w:type="paragraph" w:customStyle="1" w:styleId="840">
    <w:name w:val="main_tex"/>
    <w:basedOn w:val="1"/>
    <w:uiPriority w:val="0"/>
    <w:pPr>
      <w:spacing w:line="675" w:lineRule="atLeast"/>
      <w:jc w:val="center"/>
    </w:pPr>
    <w:rPr>
      <w:rFonts w:cs="Times New Roman"/>
      <w:color w:val="666666"/>
      <w:kern w:val="0"/>
      <w:sz w:val="30"/>
      <w:szCs w:val="30"/>
    </w:rPr>
  </w:style>
  <w:style w:type="character" w:customStyle="1" w:styleId="841">
    <w:name w:val="img_bg_cover"/>
    <w:basedOn w:val="211"/>
    <w:uiPriority w:val="0"/>
  </w:style>
  <w:style w:type="character" w:customStyle="1" w:styleId="842">
    <w:name w:val="red"/>
    <w:basedOn w:val="211"/>
    <w:uiPriority w:val="0"/>
    <w:rPr>
      <w:color w:val="E21011"/>
    </w:rPr>
  </w:style>
  <w:style w:type="character" w:customStyle="1" w:styleId="843">
    <w:name w:val="red1"/>
    <w:basedOn w:val="211"/>
    <w:uiPriority w:val="0"/>
    <w:rPr>
      <w:color w:val="ED1414"/>
    </w:rPr>
  </w:style>
  <w:style w:type="character" w:customStyle="1" w:styleId="844">
    <w:name w:val="subnav_icon2"/>
    <w:basedOn w:val="211"/>
    <w:uiPriority w:val="0"/>
    <w:rPr>
      <w:shd w:val="clear" w:color="auto" w:fill="1956A7"/>
    </w:rPr>
  </w:style>
  <w:style w:type="character" w:customStyle="1" w:styleId="845">
    <w:name w:val="subnav_icon3"/>
    <w:basedOn w:val="211"/>
    <w:uiPriority w:val="0"/>
    <w:rPr>
      <w:shd w:val="clear" w:color="auto" w:fill="1956A7"/>
    </w:rPr>
  </w:style>
  <w:style w:type="character" w:customStyle="1" w:styleId="846">
    <w:name w:val="subnav_icon21"/>
    <w:basedOn w:val="211"/>
    <w:uiPriority w:val="0"/>
    <w:rPr>
      <w:shd w:val="clear" w:color="auto" w:fill="1956A7"/>
    </w:rPr>
  </w:style>
  <w:style w:type="character" w:customStyle="1" w:styleId="847">
    <w:name w:val="subnav_icon22"/>
    <w:basedOn w:val="211"/>
    <w:uiPriority w:val="0"/>
    <w:rPr>
      <w:shd w:val="clear" w:color="auto" w:fill="1956A7"/>
    </w:rPr>
  </w:style>
  <w:style w:type="character" w:customStyle="1" w:styleId="848">
    <w:name w:val="subnav_icon31"/>
    <w:basedOn w:val="211"/>
    <w:uiPriority w:val="0"/>
    <w:rPr>
      <w:shd w:val="clear" w:color="auto" w:fill="1956A7"/>
    </w:rPr>
  </w:style>
  <w:style w:type="character" w:customStyle="1" w:styleId="849">
    <w:name w:val="subnav_icon32"/>
    <w:basedOn w:val="211"/>
    <w:uiPriority w:val="0"/>
    <w:rPr>
      <w:shd w:val="clear" w:color="auto" w:fill="1956A7"/>
    </w:rPr>
  </w:style>
  <w:style w:type="character" w:customStyle="1" w:styleId="850">
    <w:name w:val="subnav_icon4"/>
    <w:basedOn w:val="211"/>
    <w:uiPriority w:val="0"/>
    <w:rPr>
      <w:shd w:val="clear" w:color="auto" w:fill="1956A7"/>
    </w:rPr>
  </w:style>
  <w:style w:type="character" w:customStyle="1" w:styleId="851">
    <w:name w:val="subnav_icon41"/>
    <w:basedOn w:val="211"/>
    <w:uiPriority w:val="0"/>
    <w:rPr>
      <w:shd w:val="clear" w:color="auto" w:fill="1956A7"/>
    </w:rPr>
  </w:style>
  <w:style w:type="character" w:customStyle="1" w:styleId="852">
    <w:name w:val="subnav_icon5"/>
    <w:basedOn w:val="211"/>
    <w:uiPriority w:val="0"/>
    <w:rPr>
      <w:shd w:val="clear" w:color="auto" w:fill="1956A7"/>
    </w:rPr>
  </w:style>
  <w:style w:type="character" w:customStyle="1" w:styleId="853">
    <w:name w:val="subnav_icon51"/>
    <w:basedOn w:val="211"/>
    <w:uiPriority w:val="0"/>
    <w:rPr>
      <w:shd w:val="clear" w:color="auto" w:fill="1956A7"/>
    </w:rPr>
  </w:style>
  <w:style w:type="character" w:customStyle="1" w:styleId="854">
    <w:name w:val="nav_icon2"/>
    <w:basedOn w:val="211"/>
    <w:uiPriority w:val="0"/>
    <w:rPr>
      <w:shd w:val="clear" w:color="auto" w:fill="FFFFFF"/>
    </w:rPr>
  </w:style>
  <w:style w:type="character" w:customStyle="1" w:styleId="855">
    <w:name w:val="nav_icon3"/>
    <w:basedOn w:val="211"/>
    <w:uiPriority w:val="0"/>
    <w:rPr>
      <w:shd w:val="clear" w:color="auto" w:fill="FFFFFF"/>
    </w:rPr>
  </w:style>
  <w:style w:type="character" w:customStyle="1" w:styleId="856">
    <w:name w:val="nav_icon"/>
    <w:basedOn w:val="211"/>
    <w:uiPriority w:val="0"/>
    <w:rPr>
      <w:shd w:val="clear" w:color="auto" w:fill="FFFFFF"/>
    </w:rPr>
  </w:style>
  <w:style w:type="character" w:customStyle="1" w:styleId="857">
    <w:name w:val="nav_icon1"/>
    <w:basedOn w:val="211"/>
    <w:uiPriority w:val="0"/>
    <w:rPr>
      <w:shd w:val="clear" w:color="auto" w:fill="FFFFFF"/>
    </w:rPr>
  </w:style>
  <w:style w:type="character" w:customStyle="1" w:styleId="858">
    <w:name w:val="subnav_icon42"/>
    <w:basedOn w:val="211"/>
    <w:uiPriority w:val="0"/>
    <w:rPr>
      <w:shd w:val="clear" w:color="auto" w:fill="1956A7"/>
    </w:rPr>
  </w:style>
  <w:style w:type="character" w:customStyle="1" w:styleId="859">
    <w:name w:val="subnav_icon"/>
    <w:basedOn w:val="211"/>
    <w:uiPriority w:val="0"/>
    <w:rPr>
      <w:shd w:val="clear" w:color="auto" w:fill="1956A7"/>
    </w:rPr>
  </w:style>
  <w:style w:type="character" w:customStyle="1" w:styleId="860">
    <w:name w:val="subnav_icon52"/>
    <w:basedOn w:val="211"/>
    <w:uiPriority w:val="0"/>
    <w:rPr>
      <w:shd w:val="clear" w:color="auto" w:fill="1956A7"/>
    </w:rPr>
  </w:style>
  <w:style w:type="character" w:customStyle="1" w:styleId="861">
    <w:name w:val="subnav_icon53"/>
    <w:basedOn w:val="211"/>
    <w:uiPriority w:val="0"/>
    <w:rPr>
      <w:shd w:val="clear" w:color="auto" w:fill="1956A7"/>
    </w:rPr>
  </w:style>
  <w:style w:type="character" w:customStyle="1" w:styleId="862">
    <w:name w:val="subnav_icon1"/>
    <w:basedOn w:val="211"/>
    <w:uiPriority w:val="0"/>
    <w:rPr>
      <w:shd w:val="clear" w:color="auto" w:fill="1956A7"/>
    </w:rPr>
  </w:style>
  <w:style w:type="character" w:customStyle="1" w:styleId="863">
    <w:name w:val="subnav_icon6"/>
    <w:basedOn w:val="211"/>
    <w:uiPriority w:val="0"/>
    <w:rPr>
      <w:shd w:val="clear" w:color="auto" w:fill="1956A7"/>
    </w:rPr>
  </w:style>
  <w:style w:type="character" w:customStyle="1" w:styleId="864">
    <w:name w:val="subnav_icon23"/>
    <w:basedOn w:val="211"/>
    <w:uiPriority w:val="0"/>
    <w:rPr>
      <w:shd w:val="clear" w:color="auto" w:fill="1956A7"/>
    </w:rPr>
  </w:style>
  <w:style w:type="character" w:customStyle="1" w:styleId="865">
    <w:name w:val="subnav_icon33"/>
    <w:basedOn w:val="211"/>
    <w:uiPriority w:val="0"/>
    <w:rPr>
      <w:shd w:val="clear" w:color="auto" w:fill="1956A7"/>
    </w:rPr>
  </w:style>
  <w:style w:type="character" w:customStyle="1" w:styleId="866">
    <w:name w:val="subnav_icon34"/>
    <w:basedOn w:val="211"/>
    <w:uiPriority w:val="0"/>
    <w:rPr>
      <w:shd w:val="clear" w:color="auto" w:fill="1956A7"/>
    </w:rPr>
  </w:style>
  <w:style w:type="paragraph" w:customStyle="1" w:styleId="867">
    <w:name w:val="con-title"/>
    <w:basedOn w:val="1"/>
    <w:uiPriority w:val="0"/>
    <w:pPr>
      <w:spacing w:line="750" w:lineRule="atLeast"/>
      <w:jc w:val="center"/>
    </w:pPr>
    <w:rPr>
      <w:rFonts w:cs="Times New Roman"/>
      <w:b/>
      <w:color w:val="333333"/>
      <w:kern w:val="0"/>
      <w:sz w:val="42"/>
      <w:szCs w:val="42"/>
    </w:rPr>
  </w:style>
  <w:style w:type="character" w:customStyle="1" w:styleId="868">
    <w:name w:val="hover37"/>
    <w:basedOn w:val="2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hyperlink" Target="http://shandong.chinatax.gov.cn/module/download/downfile.jsp?classid=0%26filename=f4c05f529d3c4ab586fccf922ec73575.doc" TargetMode="Externa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82E6B3-1D65-44D8-9EDC-1E34EB42B3AA}">
  <ds:schemaRefs/>
</ds:datastoreItem>
</file>

<file path=docProps/app.xml><?xml version="1.0" encoding="utf-8"?>
<Properties xmlns="http://schemas.openxmlformats.org/officeDocument/2006/extended-properties" xmlns:vt="http://schemas.openxmlformats.org/officeDocument/2006/docPropsVTypes">
  <Template>Normal</Template>
  <Company>cngti.com</Company>
  <Pages>1</Pages>
  <Words>25665</Words>
  <Characters>146293</Characters>
  <Lines>1219</Lines>
  <Paragraphs>343</Paragraphs>
  <TotalTime>1</TotalTime>
  <ScaleCrop>false</ScaleCrop>
  <LinksUpToDate>false</LinksUpToDate>
  <CharactersWithSpaces>171615</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2020-03-04T09:00:00Z</dcterms:created>
  <dc:creator>Windows 用户</dc:creator>
  <cp:lastModifiedBy>Administrator</cp:lastModifiedBy>
  <cp:lastPrinted>2020-02-03T12:39:00Z</cp:lastPrinted>
  <dcterms:modified xsi:type="dcterms:W3CDTF">2020-03-05T10:20:09Z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