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50" w:rsidRDefault="004E5351" w:rsidP="004E5351">
      <w:pPr>
        <w:pStyle w:val="a3"/>
      </w:pPr>
      <w:r>
        <w:t>财政部 国家档案局 关于规范电子会计凭证报销入账归档的通知</w:t>
      </w:r>
    </w:p>
    <w:p w:rsidR="004E5351" w:rsidRPr="004E5351" w:rsidRDefault="004E5351" w:rsidP="004E5351">
      <w:pPr>
        <w:widowControl/>
        <w:shd w:val="clear" w:color="auto" w:fill="FFFFFF"/>
        <w:spacing w:before="100" w:beforeAutospacing="1" w:after="240"/>
        <w:jc w:val="center"/>
        <w:rPr>
          <w:rFonts w:ascii="微软雅黑" w:eastAsia="微软雅黑" w:hAnsi="微软雅黑" w:cs="宋体"/>
          <w:kern w:val="0"/>
          <w:sz w:val="24"/>
          <w:szCs w:val="24"/>
        </w:rPr>
      </w:pPr>
      <w:bookmarkStart w:id="0" w:name="_GoBack"/>
      <w:bookmarkEnd w:id="0"/>
      <w:r w:rsidRPr="004E5351">
        <w:rPr>
          <w:rFonts w:ascii="微软雅黑" w:eastAsia="微软雅黑" w:hAnsi="微软雅黑" w:cs="宋体" w:hint="eastAsia"/>
          <w:kern w:val="0"/>
          <w:sz w:val="24"/>
          <w:szCs w:val="24"/>
        </w:rPr>
        <w:t>财会〔2020〕6号</w:t>
      </w:r>
    </w:p>
    <w:p w:rsidR="004E5351" w:rsidRPr="004E5351" w:rsidRDefault="004E5351" w:rsidP="004E5351">
      <w:pPr>
        <w:widowControl/>
        <w:shd w:val="clear" w:color="auto" w:fill="FFFFFF"/>
        <w:spacing w:before="100" w:beforeAutospacing="1" w:after="24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党中央有关部门财务部门、档案部门，各省、自治区、直辖市、计划单列市财政厅（局）、档案局，新疆生产建设兵团财政局、档案局，国务院各部委财务部门、档案部门，财政部各地监管局，有关人民团体财务部门、档案部门，中央企业财务部门、档案部门：</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为适应电子商务、电子政务发展，规范各类电子会计凭证的报销入账归档，根据国家有关法律、行政法规，现就有关事项通知如下：</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一、本通知所称电子会计凭证，是指单位从外部接收的电子形式的各类会计凭证，包括电子发票、财政电子票据、电子客票、电子行程单、电子海关专用缴款书、银行电子回单等电子会计凭证。</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二、来源合法、真实的电子会计凭证与纸质会计凭证具有同等法律效力。</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三、除法律和行政法规另有规定外，同时满足下列条件的，单位可以仅使用电子会计凭证进行报销入账归档：</w:t>
      </w:r>
    </w:p>
    <w:p w:rsidR="004D1FE4" w:rsidRDefault="004E5351" w:rsidP="004D1FE4">
      <w:pPr>
        <w:widowControl/>
        <w:shd w:val="clear" w:color="auto" w:fill="FFFFFF"/>
        <w:spacing w:before="100" w:beforeAutospacing="1" w:after="100" w:afterAutospacing="1"/>
        <w:ind w:firstLine="482"/>
        <w:jc w:val="left"/>
        <w:rPr>
          <w:rFonts w:ascii="微软雅黑" w:eastAsia="微软雅黑" w:hAnsi="微软雅黑" w:cs="宋体" w:hint="eastAsia"/>
          <w:kern w:val="0"/>
          <w:sz w:val="24"/>
          <w:szCs w:val="24"/>
        </w:rPr>
      </w:pPr>
      <w:r w:rsidRPr="004E5351">
        <w:rPr>
          <w:rFonts w:ascii="微软雅黑" w:eastAsia="微软雅黑" w:hAnsi="微软雅黑" w:cs="宋体" w:hint="eastAsia"/>
          <w:kern w:val="0"/>
          <w:sz w:val="24"/>
          <w:szCs w:val="24"/>
        </w:rPr>
        <w:t>（一）接收的电子会计凭证经查验合法、真实；</w:t>
      </w:r>
    </w:p>
    <w:p w:rsidR="004E5351" w:rsidRPr="004E5351" w:rsidRDefault="004E5351" w:rsidP="004D1FE4">
      <w:pPr>
        <w:widowControl/>
        <w:shd w:val="clear" w:color="auto" w:fill="FFFFFF"/>
        <w:spacing w:before="100" w:beforeAutospacing="1" w:after="100" w:afterAutospacing="1"/>
        <w:ind w:firstLine="482"/>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（二）电子会计凭证的传输、存储安全、可靠，对电子会计凭证的任何篡改能够及时被发现；</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lastRenderedPageBreak/>
        <w:t>（三）使用的会计核算系统能够准确、完整、有效接收和读取电子会计凭证及其元数据，能够按照国家统一的会计制度完成会计核算业务，能够按照国家档案行政管理部门规定格式输出电子会计凭证及其元数据，设定了经办、审核、审批等必要的审签程序，且能有效防止电子会计凭证重复入账；</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（四）电子会计凭证的归档及管理符合《会计档案管理办法》（财政部国家档案局第79号令）等要求。</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四、单位以电子会计凭证的纸质打印件作为报销入账归档依据的，必须同时保存打印该纸质件的电子会计凭证。</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五、符合档案管理要求的电子会计档案与纸质档案具有同等法律效力。除法律、行政法规另有规定外，电子会计档案可不再另以纸质形式保存。</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六、单位和个人在电子会计凭证报销入账归档中存在违反本通知规定行为的，县级以上人民政府财政部门、档案行政管理部门应当依据《中华人民共和国会计法》《中华人民共和国档案法》等有关法律、行政法规处理处罚。</w:t>
      </w:r>
    </w:p>
    <w:p w:rsidR="004E5351" w:rsidRPr="004E5351" w:rsidRDefault="004E5351" w:rsidP="004E5351">
      <w:pPr>
        <w:widowControl/>
        <w:shd w:val="clear" w:color="auto" w:fill="FFFFFF"/>
        <w:spacing w:before="100" w:beforeAutospacing="1" w:after="240"/>
        <w:ind w:firstLine="480"/>
        <w:jc w:val="lef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七、本通知由财政部、国家档案局负责解释，并自发布之日起施行。</w:t>
      </w:r>
    </w:p>
    <w:p w:rsidR="004E5351" w:rsidRPr="004E5351" w:rsidRDefault="004E5351" w:rsidP="004E5351">
      <w:pPr>
        <w:widowControl/>
        <w:shd w:val="clear" w:color="auto" w:fill="FFFFFF"/>
        <w:spacing w:before="100" w:beforeAutospacing="1" w:after="240"/>
        <w:ind w:firstLine="480"/>
        <w:jc w:val="righ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财政部</w:t>
      </w:r>
      <w:r w:rsidRPr="004E5351">
        <w:rPr>
          <w:rFonts w:ascii="微软雅黑" w:eastAsia="微软雅黑" w:hAnsi="微软雅黑" w:cs="宋体" w:hint="eastAsia"/>
          <w:kern w:val="0"/>
          <w:sz w:val="24"/>
          <w:szCs w:val="24"/>
        </w:rPr>
        <w:t> </w:t>
      </w:r>
      <w:r w:rsidRPr="004E5351">
        <w:rPr>
          <w:rFonts w:ascii="微软雅黑" w:eastAsia="微软雅黑" w:hAnsi="微软雅黑" w:cs="宋体" w:hint="eastAsia"/>
          <w:kern w:val="0"/>
          <w:sz w:val="24"/>
          <w:szCs w:val="24"/>
        </w:rPr>
        <w:t> </w:t>
      </w:r>
      <w:r w:rsidRPr="004E5351">
        <w:rPr>
          <w:rFonts w:ascii="微软雅黑" w:eastAsia="微软雅黑" w:hAnsi="微软雅黑" w:cs="宋体" w:hint="eastAsia"/>
          <w:kern w:val="0"/>
          <w:sz w:val="24"/>
          <w:szCs w:val="24"/>
        </w:rPr>
        <w:t> </w:t>
      </w:r>
      <w:r w:rsidRPr="004E5351">
        <w:rPr>
          <w:rFonts w:ascii="微软雅黑" w:eastAsia="微软雅黑" w:hAnsi="微软雅黑" w:cs="宋体" w:hint="eastAsia"/>
          <w:kern w:val="0"/>
          <w:sz w:val="24"/>
          <w:szCs w:val="24"/>
        </w:rPr>
        <w:t> </w:t>
      </w:r>
    </w:p>
    <w:p w:rsidR="004E5351" w:rsidRPr="004E5351" w:rsidRDefault="004E5351" w:rsidP="004E5351">
      <w:pPr>
        <w:widowControl/>
        <w:shd w:val="clear" w:color="auto" w:fill="FFFFFF"/>
        <w:spacing w:before="100" w:beforeAutospacing="1" w:after="240"/>
        <w:ind w:firstLine="480"/>
        <w:jc w:val="righ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国家档案局</w:t>
      </w:r>
      <w:r w:rsidRPr="004E5351">
        <w:rPr>
          <w:rFonts w:ascii="微软雅黑" w:eastAsia="微软雅黑" w:hAnsi="微软雅黑" w:cs="宋体" w:hint="eastAsia"/>
          <w:kern w:val="0"/>
          <w:sz w:val="24"/>
          <w:szCs w:val="24"/>
        </w:rPr>
        <w:t> </w:t>
      </w:r>
      <w:r w:rsidRPr="004E5351">
        <w:rPr>
          <w:rFonts w:ascii="微软雅黑" w:eastAsia="微软雅黑" w:hAnsi="微软雅黑" w:cs="宋体" w:hint="eastAsia"/>
          <w:kern w:val="0"/>
          <w:sz w:val="24"/>
          <w:szCs w:val="24"/>
        </w:rPr>
        <w:t> </w:t>
      </w:r>
    </w:p>
    <w:p w:rsidR="004E5351" w:rsidRPr="004E5351" w:rsidRDefault="004E5351" w:rsidP="004E5351">
      <w:pPr>
        <w:widowControl/>
        <w:shd w:val="clear" w:color="auto" w:fill="FFFFFF"/>
        <w:spacing w:before="100" w:beforeAutospacing="1" w:after="240"/>
        <w:ind w:firstLine="480"/>
        <w:jc w:val="right"/>
        <w:rPr>
          <w:rFonts w:ascii="微软雅黑" w:eastAsia="微软雅黑" w:hAnsi="微软雅黑" w:cs="宋体"/>
          <w:kern w:val="0"/>
          <w:sz w:val="24"/>
          <w:szCs w:val="24"/>
        </w:rPr>
      </w:pPr>
      <w:r w:rsidRPr="004E5351">
        <w:rPr>
          <w:rFonts w:ascii="微软雅黑" w:eastAsia="微软雅黑" w:hAnsi="微软雅黑" w:cs="宋体" w:hint="eastAsia"/>
          <w:kern w:val="0"/>
          <w:sz w:val="24"/>
          <w:szCs w:val="24"/>
        </w:rPr>
        <w:t>2020年3月23日</w:t>
      </w:r>
    </w:p>
    <w:p w:rsidR="004E5351" w:rsidRDefault="004E5351"/>
    <w:sectPr w:rsidR="004E5351" w:rsidSect="00D34AE8">
      <w:footerReference w:type="default" r:id="rId7"/>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D4" w:rsidRDefault="00BC56D4" w:rsidP="00D34AE8">
      <w:r>
        <w:separator/>
      </w:r>
    </w:p>
  </w:endnote>
  <w:endnote w:type="continuationSeparator" w:id="0">
    <w:p w:rsidR="00BC56D4" w:rsidRDefault="00BC56D4" w:rsidP="00D3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831789"/>
      <w:docPartObj>
        <w:docPartGallery w:val="Page Numbers (Bottom of Page)"/>
        <w:docPartUnique/>
      </w:docPartObj>
    </w:sdtPr>
    <w:sdtEndPr/>
    <w:sdtContent>
      <w:p w:rsidR="00D34AE8" w:rsidRDefault="00D34AE8">
        <w:pPr>
          <w:pStyle w:val="a5"/>
          <w:jc w:val="center"/>
        </w:pPr>
        <w:r>
          <w:fldChar w:fldCharType="begin"/>
        </w:r>
        <w:r>
          <w:instrText>PAGE   \* MERGEFORMAT</w:instrText>
        </w:r>
        <w:r>
          <w:fldChar w:fldCharType="separate"/>
        </w:r>
        <w:r w:rsidR="00BC56D4" w:rsidRPr="00BC56D4">
          <w:rPr>
            <w:noProof/>
            <w:lang w:val="zh-CN"/>
          </w:rPr>
          <w:t>1</w:t>
        </w:r>
        <w:r>
          <w:fldChar w:fldCharType="end"/>
        </w:r>
      </w:p>
    </w:sdtContent>
  </w:sdt>
  <w:p w:rsidR="00D34AE8" w:rsidRDefault="00D34A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D4" w:rsidRDefault="00BC56D4" w:rsidP="00D34AE8">
      <w:r>
        <w:separator/>
      </w:r>
    </w:p>
  </w:footnote>
  <w:footnote w:type="continuationSeparator" w:id="0">
    <w:p w:rsidR="00BC56D4" w:rsidRDefault="00BC56D4" w:rsidP="00D3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51"/>
    <w:rsid w:val="004D1FE4"/>
    <w:rsid w:val="004E5351"/>
    <w:rsid w:val="00693DE7"/>
    <w:rsid w:val="00797C50"/>
    <w:rsid w:val="0080184D"/>
    <w:rsid w:val="00BC56D4"/>
    <w:rsid w:val="00D34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4E5351"/>
    <w:rPr>
      <w:color w:val="727272"/>
      <w:sz w:val="20"/>
      <w:szCs w:val="20"/>
    </w:rPr>
  </w:style>
  <w:style w:type="paragraph" w:styleId="a3">
    <w:name w:val="Title"/>
    <w:basedOn w:val="a"/>
    <w:next w:val="a"/>
    <w:link w:val="Char"/>
    <w:uiPriority w:val="10"/>
    <w:qFormat/>
    <w:rsid w:val="004E5351"/>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E5351"/>
    <w:rPr>
      <w:rFonts w:asciiTheme="majorHAnsi" w:eastAsiaTheme="majorEastAsia" w:hAnsiTheme="majorHAnsi" w:cstheme="majorBidi"/>
      <w:b/>
      <w:bCs/>
      <w:sz w:val="32"/>
      <w:szCs w:val="32"/>
    </w:rPr>
  </w:style>
  <w:style w:type="paragraph" w:styleId="a4">
    <w:name w:val="header"/>
    <w:basedOn w:val="a"/>
    <w:link w:val="Char0"/>
    <w:uiPriority w:val="99"/>
    <w:unhideWhenUsed/>
    <w:rsid w:val="00D34A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AE8"/>
    <w:rPr>
      <w:sz w:val="18"/>
      <w:szCs w:val="18"/>
    </w:rPr>
  </w:style>
  <w:style w:type="paragraph" w:styleId="a5">
    <w:name w:val="footer"/>
    <w:basedOn w:val="a"/>
    <w:link w:val="Char1"/>
    <w:uiPriority w:val="99"/>
    <w:unhideWhenUsed/>
    <w:rsid w:val="00D34AE8"/>
    <w:pPr>
      <w:tabs>
        <w:tab w:val="center" w:pos="4153"/>
        <w:tab w:val="right" w:pos="8306"/>
      </w:tabs>
      <w:snapToGrid w:val="0"/>
      <w:jc w:val="left"/>
    </w:pPr>
    <w:rPr>
      <w:sz w:val="18"/>
      <w:szCs w:val="18"/>
    </w:rPr>
  </w:style>
  <w:style w:type="character" w:customStyle="1" w:styleId="Char1">
    <w:name w:val="页脚 Char"/>
    <w:basedOn w:val="a0"/>
    <w:link w:val="a5"/>
    <w:uiPriority w:val="99"/>
    <w:rsid w:val="00D34A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4E5351"/>
    <w:rPr>
      <w:color w:val="727272"/>
      <w:sz w:val="20"/>
      <w:szCs w:val="20"/>
    </w:rPr>
  </w:style>
  <w:style w:type="paragraph" w:styleId="a3">
    <w:name w:val="Title"/>
    <w:basedOn w:val="a"/>
    <w:next w:val="a"/>
    <w:link w:val="Char"/>
    <w:uiPriority w:val="10"/>
    <w:qFormat/>
    <w:rsid w:val="004E5351"/>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E5351"/>
    <w:rPr>
      <w:rFonts w:asciiTheme="majorHAnsi" w:eastAsiaTheme="majorEastAsia" w:hAnsiTheme="majorHAnsi" w:cstheme="majorBidi"/>
      <w:b/>
      <w:bCs/>
      <w:sz w:val="32"/>
      <w:szCs w:val="32"/>
    </w:rPr>
  </w:style>
  <w:style w:type="paragraph" w:styleId="a4">
    <w:name w:val="header"/>
    <w:basedOn w:val="a"/>
    <w:link w:val="Char0"/>
    <w:uiPriority w:val="99"/>
    <w:unhideWhenUsed/>
    <w:rsid w:val="00D34A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AE8"/>
    <w:rPr>
      <w:sz w:val="18"/>
      <w:szCs w:val="18"/>
    </w:rPr>
  </w:style>
  <w:style w:type="paragraph" w:styleId="a5">
    <w:name w:val="footer"/>
    <w:basedOn w:val="a"/>
    <w:link w:val="Char1"/>
    <w:uiPriority w:val="99"/>
    <w:unhideWhenUsed/>
    <w:rsid w:val="00D34AE8"/>
    <w:pPr>
      <w:tabs>
        <w:tab w:val="center" w:pos="4153"/>
        <w:tab w:val="right" w:pos="8306"/>
      </w:tabs>
      <w:snapToGrid w:val="0"/>
      <w:jc w:val="left"/>
    </w:pPr>
    <w:rPr>
      <w:sz w:val="18"/>
      <w:szCs w:val="18"/>
    </w:rPr>
  </w:style>
  <w:style w:type="character" w:customStyle="1" w:styleId="Char1">
    <w:name w:val="页脚 Char"/>
    <w:basedOn w:val="a0"/>
    <w:link w:val="a5"/>
    <w:uiPriority w:val="99"/>
    <w:rsid w:val="00D34A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3930">
      <w:bodyDiv w:val="1"/>
      <w:marLeft w:val="0"/>
      <w:marRight w:val="0"/>
      <w:marTop w:val="0"/>
      <w:marBottom w:val="0"/>
      <w:divBdr>
        <w:top w:val="none" w:sz="0" w:space="0" w:color="auto"/>
        <w:left w:val="none" w:sz="0" w:space="0" w:color="auto"/>
        <w:bottom w:val="none" w:sz="0" w:space="0" w:color="auto"/>
        <w:right w:val="none" w:sz="0" w:space="0" w:color="auto"/>
      </w:divBdr>
      <w:divsChild>
        <w:div w:id="1903759171">
          <w:marLeft w:val="0"/>
          <w:marRight w:val="0"/>
          <w:marTop w:val="0"/>
          <w:marBottom w:val="0"/>
          <w:divBdr>
            <w:top w:val="none" w:sz="0" w:space="0" w:color="auto"/>
            <w:left w:val="none" w:sz="0" w:space="0" w:color="auto"/>
            <w:bottom w:val="none" w:sz="0" w:space="0" w:color="auto"/>
            <w:right w:val="none" w:sz="0" w:space="0" w:color="auto"/>
          </w:divBdr>
          <w:divsChild>
            <w:div w:id="529225670">
              <w:marLeft w:val="0"/>
              <w:marRight w:val="300"/>
              <w:marTop w:val="300"/>
              <w:marBottom w:val="0"/>
              <w:divBdr>
                <w:top w:val="none" w:sz="0" w:space="0" w:color="auto"/>
                <w:left w:val="none" w:sz="0" w:space="0" w:color="auto"/>
                <w:bottom w:val="none" w:sz="0" w:space="0" w:color="auto"/>
                <w:right w:val="single" w:sz="6" w:space="15" w:color="EBEBEB"/>
              </w:divBdr>
              <w:divsChild>
                <w:div w:id="17529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 军辉</dc:creator>
  <cp:keywords/>
  <dc:description/>
  <cp:lastModifiedBy>Administrator</cp:lastModifiedBy>
  <cp:revision>5</cp:revision>
  <dcterms:created xsi:type="dcterms:W3CDTF">2020-04-01T03:24:00Z</dcterms:created>
  <dcterms:modified xsi:type="dcterms:W3CDTF">2020-04-01T03:39:00Z</dcterms:modified>
</cp:coreProperties>
</file>