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6388" w14:textId="77777777" w:rsidR="00BA2365" w:rsidRDefault="00BA2365" w:rsidP="00BA2365">
      <w:pPr>
        <w:pStyle w:val="2"/>
        <w:pBdr>
          <w:bottom w:val="single" w:sz="6" w:space="0" w:color="CCCCCC"/>
        </w:pBdr>
        <w:jc w:val="center"/>
        <w:rPr>
          <w:rFonts w:ascii="Cambria" w:hAnsi="Cambria"/>
          <w:color w:val="1554AA"/>
          <w:sz w:val="42"/>
          <w:szCs w:val="42"/>
        </w:rPr>
      </w:pPr>
      <w:r>
        <w:rPr>
          <w:rFonts w:ascii="Cambria" w:hAnsi="Cambria"/>
          <w:color w:val="1554AA"/>
          <w:sz w:val="42"/>
          <w:szCs w:val="42"/>
        </w:rPr>
        <w:t>国务院关于进一步提高上市公司质量的意见</w:t>
      </w:r>
    </w:p>
    <w:p w14:paraId="59A90A28" w14:textId="77777777" w:rsidR="00BA2365" w:rsidRDefault="00BA2365" w:rsidP="00BA2365">
      <w:pPr>
        <w:rPr>
          <w:rFonts w:ascii="Cambria" w:hAnsi="Cambria"/>
          <w:color w:val="000000"/>
          <w:szCs w:val="21"/>
        </w:rPr>
      </w:pPr>
      <w:r>
        <w:rPr>
          <w:rFonts w:ascii="Cambria" w:hAnsi="Cambria"/>
          <w:color w:val="000000"/>
          <w:szCs w:val="21"/>
        </w:rPr>
        <w:t xml:space="preserve">  </w:t>
      </w:r>
    </w:p>
    <w:p w14:paraId="44F78A41" w14:textId="77777777" w:rsidR="00BA2365" w:rsidRDefault="00BA2365" w:rsidP="00BA2365">
      <w:pPr>
        <w:shd w:val="clear" w:color="auto" w:fill="FFFFFF"/>
        <w:spacing w:after="312" w:line="360" w:lineRule="auto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</w:rPr>
        <w:t>各省、自治区、直辖市人民政府，国务院各部委、各直属机构：</w:t>
      </w:r>
    </w:p>
    <w:p w14:paraId="2BAC7549" w14:textId="77777777" w:rsidR="00BA2365" w:rsidRDefault="00BA2365" w:rsidP="00BA2365">
      <w:pPr>
        <w:shd w:val="clear" w:color="auto" w:fill="FFFFFF"/>
        <w:spacing w:after="312" w:line="360" w:lineRule="auto"/>
        <w:ind w:firstLine="482"/>
        <w:rPr>
          <w:rFonts w:ascii="Cambria" w:hAnsi="Cambria"/>
          <w:color w:val="000000"/>
        </w:rPr>
      </w:pPr>
      <w:bookmarkStart w:id="0" w:name="_GoBack"/>
      <w:bookmarkEnd w:id="0"/>
      <w:r>
        <w:rPr>
          <w:rFonts w:ascii="Cambria" w:hAnsi="Cambria"/>
          <w:b/>
          <w:bCs/>
          <w:color w:val="000000"/>
        </w:rPr>
        <w:t>一、总体要求</w:t>
      </w:r>
    </w:p>
    <w:p w14:paraId="121C4272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以习近平新时代中国特色社会主义思想为指导，全面贯彻党的十九大和十九届二中、三中、四中全会精神，认真落实党中央、国务院决策部署，贯彻新发展理念，坚持市场化、法治化方向，按照深化金融供给侧结构性改革要求，加强资本市场基础制度建设，大力提高上市公司质量。坚持存量与增量并重、治标与治本结合，发挥各方合力，强化持续监管，优化上市公司结构和发展环境，使上市公司运作规范性明显提升，信息披露质量不断改善，突出问题得到有效解决，可持续发展能力和整体质量显著提高，为建设规范、透明、开放、有活力、有韧性的资本市场，促进经济高质量发展提供有力支撑。</w:t>
      </w:r>
    </w:p>
    <w:p w14:paraId="612DC97B" w14:textId="77777777" w:rsidR="00BA2365" w:rsidRDefault="00BA2365" w:rsidP="00BA2365">
      <w:pPr>
        <w:shd w:val="clear" w:color="auto" w:fill="FFFFFF"/>
        <w:spacing w:after="312" w:line="360" w:lineRule="auto"/>
        <w:ind w:firstLine="482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二、提高上市公司治理水平</w:t>
      </w:r>
    </w:p>
    <w:p w14:paraId="34976B1F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（一）规范公司治理和内部控制。完善公司治理制度规则，明确控股股东、实际控制人、董事、监事和高级管理人员的职责界限和法律责任。控股股东、实际控制人要履行诚信义务，维护上市公司独立性，切实保障上市公司和投资者的合法权益。股东大会、董事会、监事会、经理层要依法合规运作，董事、监事和高级管理人员要忠实勤勉履职，充分发挥独立董事、监事会作用。建立董事会与投资者的良好沟通机制，健全机构投资者参与公司治理的渠道和方式。科学界定国有控股上市公司治理相关方的权责，健全具有中国特色的国有控股上市公司治理机制。严格执行上市公司内控制度，加快推行内控规范体系，提升内控有效性。强化上市公司治理底线要求，倡导最佳实践，加强治理状况信息披露，促进提升决策管理的科学性。开展公司治理专项行动，通过公司自查、现场检查、督促整改，切实提高公司治理水平。（证监会、国务院国资委、财政部、银保监会等单位负责）</w:t>
      </w:r>
    </w:p>
    <w:p w14:paraId="2FF54C45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（二）提升信息披露质量。以提升透明度为目标，优化规则体系，督促上市公司、股东及相关信息披露义务人真实、准确、完整、及时、公平披露信息。以投资者需求为导向，完善分行业信息披露标准，优化披露内容，增强信息披露针对性和有效性。严格执行企业会计准则，优化信息披露编报规则，提升财务信息质量。上市公司及其他信息披露义务人要充</w:t>
      </w:r>
      <w:r>
        <w:rPr>
          <w:rFonts w:ascii="Cambria" w:hAnsi="Cambria"/>
          <w:color w:val="000000"/>
        </w:rPr>
        <w:lastRenderedPageBreak/>
        <w:t>分披露投资者作出价值判断和投资决策所必需的信息，并做到简明清晰、通俗易懂。相关部门和机构要按照资本市场规则，支持、配合上市公司依法依规履行信息披露义务。（证监会、国务院国资委、工业和信息化部、财政部等单位负责）</w:t>
      </w:r>
    </w:p>
    <w:p w14:paraId="707BBBE5" w14:textId="77777777" w:rsidR="00BA2365" w:rsidRDefault="00BA2365" w:rsidP="00BA2365">
      <w:pPr>
        <w:shd w:val="clear" w:color="auto" w:fill="FFFFFF"/>
        <w:spacing w:after="312" w:line="360" w:lineRule="auto"/>
        <w:ind w:firstLine="482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三、推动上市公司做优做强</w:t>
      </w:r>
    </w:p>
    <w:p w14:paraId="55E42F4F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（三）支持优质企业上市。全面推行、分步实施证券发行注册制。优化发行上市标准，增强包容性。加强对拟上市企业的培育和辅导，提升拟上市企业规范化水平。鼓励和支持混合所有制改革试点企业上市。发挥股权投资机构在促进公司优化治理、创新创业、产业升级等方面的积极作用。大力发展创业投资，培育科技型、创新型企业，支持制造业单项冠军、专精特新</w:t>
      </w:r>
      <w:r>
        <w:rPr>
          <w:rFonts w:ascii="Cambria" w:hAnsi="Cambria"/>
          <w:color w:val="000000"/>
        </w:rPr>
        <w:t>“</w:t>
      </w:r>
      <w:r>
        <w:rPr>
          <w:rFonts w:ascii="Cambria" w:hAnsi="Cambria"/>
          <w:color w:val="000000"/>
        </w:rPr>
        <w:t>小巨人</w:t>
      </w:r>
      <w:r>
        <w:rPr>
          <w:rFonts w:ascii="Cambria" w:hAnsi="Cambria"/>
          <w:color w:val="000000"/>
        </w:rPr>
        <w:t>”</w:t>
      </w:r>
      <w:r>
        <w:rPr>
          <w:rFonts w:ascii="Cambria" w:hAnsi="Cambria"/>
          <w:color w:val="000000"/>
        </w:rPr>
        <w:t>等企业发展壮大。发挥全国中小企业股份转让系统、区域性股权市场和产权交易市场在培育企业上市中的积极作用。（证监会、国务院国资委、国家发展改革委、财政部、工业和信息化部等单位与各省级人民政府负责）</w:t>
      </w:r>
    </w:p>
    <w:p w14:paraId="2DF7D1ED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（四）促进市场化并购重组。充分发挥资本市场的并购重组主渠道作用，鼓励上市公司盘活存量、提质增效、转型发展。完善上市公司资产重组、收购和分拆上市等制度，丰富支付及融资工具，激发市场活力。发挥证券市场价格、估值、资产评估结果在国有资产交易定价中的作用，支持国有企业依托资本市场开展混合所有制改革。支持境内上市公司发行股份购买境外优质资产，允许更多符合条件的外国投资者对境内上市公司进行战略投资，提升上市公司国际竞争力。研究拓宽社会资本等多方参与上市公司并购重组的渠道。（证监会、工业和信息化部、国务院国资委、国家发展改革委、财政部、人民银行、商务部、市场监管总局、国家外汇局等单位与各省级人民政府负责）</w:t>
      </w:r>
    </w:p>
    <w:p w14:paraId="173D3DFA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（五）完善上市公司融资制度。加强资本市场融资端和投资端的协调平衡，引导上市公司兼顾发展需要和市场状况优化融资安排。完善上市公司再融资发行条件，研究推出更加便捷的融资方式。支持上市公司通过发行债券等方式开展长期限债务融资。稳步发展优先股、股债结合产品。大力发展权益类基金。丰富风险管理工具。探索建立对机构投资者的长周期考核机制，吸引更多中长期资金入市。（证监会、财政部、人民银行、国家发展改革委、银保监会等单位负责）</w:t>
      </w:r>
    </w:p>
    <w:p w14:paraId="237F613C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（六）健全激励约束机制。完善上市公司股权激励和员工持股制度，在对象、方式、</w:t>
      </w:r>
      <w:r>
        <w:rPr>
          <w:rFonts w:ascii="Cambria" w:hAnsi="Cambria"/>
          <w:color w:val="000000"/>
        </w:rPr>
        <w:lastRenderedPageBreak/>
        <w:t>定价等方面作出更加灵活的安排。优化政策环境，支持各类上市公司建立健全长效激励机制，强化劳动者和所有者利益共享，更好吸引和留住人才，充分调动上市公司员工积极性。（证监会、国务院国资委、财政部等单位负责）</w:t>
      </w:r>
    </w:p>
    <w:p w14:paraId="68C20439" w14:textId="77777777" w:rsidR="00BA2365" w:rsidRDefault="00BA2365" w:rsidP="00BA2365">
      <w:pPr>
        <w:shd w:val="clear" w:color="auto" w:fill="FFFFFF"/>
        <w:spacing w:after="312" w:line="360" w:lineRule="auto"/>
        <w:ind w:firstLine="482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四、健全上市公司退出机制</w:t>
      </w:r>
    </w:p>
    <w:p w14:paraId="7628FF35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（七）严格退市监管。完善退市标准，简化退市程序，加大退市监管力度。严厉打击通过财务造假、利益输送、操纵市场等方式恶意规避退市行为，将缺乏持续经营能力、严重违法违规扰乱市场秩序的公司及时清出市场。加大对违法违规主体的责任追究力度。支持投资者依法维权，保护投资者合法权益。（证监会、最高人民法院、公安部、国务院国资委等单位与各省级人民政府负责）</w:t>
      </w:r>
    </w:p>
    <w:p w14:paraId="1DD381CD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（八）拓宽多元化退出渠道。完善并购重组和破产重整等制度，优化流程、提高效率，畅通主动退市、并购重组、破产重整等上市公司多元化退出渠道。有关地区和部门要综合施策，支持上市公司通过并购重组、破产重整等方式出清风险。（证监会、最高人民法院、司法部、国务院国资委等单位与各省级人民政府负责）</w:t>
      </w:r>
    </w:p>
    <w:p w14:paraId="56275E87" w14:textId="77777777" w:rsidR="00BA2365" w:rsidRDefault="00BA2365" w:rsidP="00BA2365">
      <w:pPr>
        <w:shd w:val="clear" w:color="auto" w:fill="FFFFFF"/>
        <w:spacing w:after="312" w:line="360" w:lineRule="auto"/>
        <w:ind w:firstLine="482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五、解决上市公司突出问题</w:t>
      </w:r>
    </w:p>
    <w:p w14:paraId="3F623EB4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（九）积极稳妥化解上市公司股票质押风险。坚持控制增量、化解存量，建立多部门共同参与的上市公司股票质押风险处置机制，强化场内外一致性监管，加强质押信息共享。强化对金融机构、上市公司大股东及实际控制人的风险约束机制。严格执行分层次、差异化的股票质押信息披露制度。严格控制限售股质押。支持银行、证券、保险、私募股权基金等机构参与上市公司股票质押风险化解。（证监会、最高人民法院、人民银行、银保监会、国务院国资委等单位与各省级人民政府负责）</w:t>
      </w:r>
    </w:p>
    <w:p w14:paraId="370C5B2E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（十）严肃处置资金占用、违规担保问题。控股股东、实际控制人及相关方不得以任何方式侵占上市公司利益。坚持依法监管、分类处置，对已形成的资金占用、违规担保问题，要限期予以清偿或化解；对限期未整改或新发生的资金占用、违规担保问题，要严厉查处，构成犯罪的依法追究刑事责任。依法依规认定上市公司对违规担保合同不承担担保责任。上市公司实施破产重整的，应当提出解决资金占用、违规担保问题的切实可行方案。（证监会、最高人民法院、公安部等单位与各省级人民政府负责）</w:t>
      </w:r>
    </w:p>
    <w:p w14:paraId="7012BABE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（十一）强化应对重大突发事件政策支持。发生自然灾害、公共卫生等重大突发事件，对上市公司正常生产经营造成严重影响的，证券监管部门要在依法合规前提下，作出灵活安排；有关部门要依托宏观政策、金融稳定等协调机制，加强协作联动，落实好产业、金融、财税等方面政策；各级政府要及时采取措施，维护劳务用工、生产资料、公用事业品供应和物流运输渠道，支持上市公司尽快恢复正常生产经营。（国家发展改革委、财政部、工业和信息化部、商务部、税务总局、人民银行、银保监会、证监会等单位与各省级人民政府负责）</w:t>
      </w:r>
    </w:p>
    <w:p w14:paraId="1992EC5C" w14:textId="77777777" w:rsidR="00BA2365" w:rsidRDefault="00BA2365" w:rsidP="00BA2365">
      <w:pPr>
        <w:shd w:val="clear" w:color="auto" w:fill="FFFFFF"/>
        <w:spacing w:after="312" w:line="360" w:lineRule="auto"/>
        <w:ind w:firstLine="482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六、提高上市公司及相关主体违法违规成本</w:t>
      </w:r>
    </w:p>
    <w:p w14:paraId="3482371A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（十二）加大执法力度。严格落实证券法等法律规定，加大对欺诈发行、信息披露违法、操纵市场、内幕交易等违法违规行为的处罚力度。加强行政机关与司法机关协作，实现涉刑案件快速移送、快速查办，严厉查处违法犯罪行为。完善违法违规行为认定规则，办理上市公司违法违规案件时注意区分上市公司责任、股东责任与董事、监事、高级管理人员等个人责任；对涉案证券公司、证券服务机构等中介机构及从业人员一并查处，情节严重、性质恶劣的，依法采取暂停、撤销、吊销业务或从业资格等措施。（证监会、公安部、最高人民法院、财政部、司法部等单位与各省级人民政府负责）</w:t>
      </w:r>
    </w:p>
    <w:p w14:paraId="0288A456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（十三）推动增加法制供给。推动修订相关法律法规，加重财务造假、资金占用等违法违规行为的行政、刑事法律责任，完善证券民事诉讼和赔偿制度，大幅提高相关责任主体违法违规成本。支持投资者保护机构依法作为代表人参加诉讼。推广证券期货纠纷示范判决机制。（证监会、最高人民法院、司法部、公安部、财政部等单位负责）</w:t>
      </w:r>
    </w:p>
    <w:p w14:paraId="4F151A15" w14:textId="77777777" w:rsidR="00BA2365" w:rsidRDefault="00BA2365" w:rsidP="00BA2365">
      <w:pPr>
        <w:shd w:val="clear" w:color="auto" w:fill="FFFFFF"/>
        <w:spacing w:after="312" w:line="360" w:lineRule="auto"/>
        <w:ind w:firstLine="482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七、形成提高上市公司质量的工作合力</w:t>
      </w:r>
    </w:p>
    <w:p w14:paraId="7796833A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（十四）持续提升监管效能。坚持服务实体经济和保护投资者合法权益方向，把提高上市公司质量作为上市公司监管的重要目标。加强全程审慎监管，推进科学监管、分类监管、专业监管、持续监管，提高上市公司监管有效性。充分发挥证券交易所一线监督及自律管理职责、上市公司协会自律管理作用。（证监会负责）</w:t>
      </w:r>
    </w:p>
    <w:p w14:paraId="6435329E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（十五）强化上市公司主体责任。上市公司要诚实守信、规范运作，专注主业、稳健经营，不断提高经营水平和发展质量。上市公司控股股东、实际控制人、董事、监事和高级管理人员要各尽其责，公平对待所有股东。对损害上市公司利益的行为，上市公司要依法维</w:t>
      </w:r>
      <w:r>
        <w:rPr>
          <w:rFonts w:ascii="Cambria" w:hAnsi="Cambria"/>
          <w:color w:val="000000"/>
        </w:rPr>
        <w:lastRenderedPageBreak/>
        <w:t>权。鼓励上市公司通过现金分红、股份回购等方式回报投资者，切实履行社会责任。（证监会、国务院国资委、财政部、全国工商联等单位负责）</w:t>
      </w:r>
    </w:p>
    <w:p w14:paraId="67E3BCA0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（十六）督促中介机构归位尽责。健全中介机构执业规则体系，明确上市公司与各类中介机构的职责边界，压实中介机构责任。相关中介机构要严格履行核查验证、专业把关等法定职责，为上市公司提供高质量服务。相关部门和机构要配合中介机构依法依规履职，及时、准确、完整地提供相关信息。（证监会、财政部、司法部、银保监会等单位与各省级人民政府负责）</w:t>
      </w:r>
    </w:p>
    <w:p w14:paraId="26C82F2D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（十七）凝聚各方合力。完善上市公司综合监管体系，推进上市公司监管大数据平台建设，建立健全财政、税务、海关、金融、市场监管、行业监管、地方政府、司法机关等单位的信息共享机制。增加制度供给，优化政策环境，加强监管执法协作，协同处置上市公司风险。充分发挥新闻媒体的舆论引导和监督作用，共同营造支持上市公司高质量发展的良好环境。（各相关单位与各省级人民政府负责）</w:t>
      </w:r>
    </w:p>
    <w:p w14:paraId="68C69E26" w14:textId="77777777" w:rsidR="00BA2365" w:rsidRDefault="00BA2365" w:rsidP="00BA2365">
      <w:pPr>
        <w:shd w:val="clear" w:color="auto" w:fill="FFFFFF"/>
        <w:spacing w:after="312" w:line="360" w:lineRule="auto"/>
        <w:ind w:firstLine="480"/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国务院</w:t>
      </w:r>
    </w:p>
    <w:p w14:paraId="26ADF89D" w14:textId="77777777" w:rsidR="00BA2365" w:rsidRDefault="00BA2365" w:rsidP="00BA2365">
      <w:pPr>
        <w:shd w:val="clear" w:color="auto" w:fill="FFFFFF"/>
        <w:spacing w:after="312" w:line="360" w:lineRule="auto"/>
        <w:ind w:firstLine="480"/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2020</w:t>
      </w:r>
      <w:r>
        <w:rPr>
          <w:rFonts w:ascii="Cambria" w:hAnsi="Cambria"/>
          <w:color w:val="000000"/>
        </w:rPr>
        <w:t>年</w:t>
      </w:r>
      <w:r>
        <w:rPr>
          <w:rFonts w:ascii="Cambria" w:hAnsi="Cambria"/>
          <w:color w:val="000000"/>
        </w:rPr>
        <w:t>10</w:t>
      </w:r>
      <w:r>
        <w:rPr>
          <w:rFonts w:ascii="Cambria" w:hAnsi="Cambria"/>
          <w:color w:val="000000"/>
        </w:rPr>
        <w:t>月</w:t>
      </w:r>
      <w:r>
        <w:rPr>
          <w:rFonts w:ascii="Cambria" w:hAnsi="Cambria"/>
          <w:color w:val="000000"/>
        </w:rPr>
        <w:t>5</w:t>
      </w:r>
      <w:r>
        <w:rPr>
          <w:rFonts w:ascii="Cambria" w:hAnsi="Cambria"/>
          <w:color w:val="000000"/>
        </w:rPr>
        <w:t>日</w:t>
      </w:r>
    </w:p>
    <w:p w14:paraId="7B276C95" w14:textId="77777777" w:rsidR="00BA2365" w:rsidRDefault="00BA2365" w:rsidP="00BA2365">
      <w:pPr>
        <w:shd w:val="clear" w:color="auto" w:fill="FFFFFF"/>
        <w:spacing w:after="312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（此件公开发布）</w:t>
      </w:r>
    </w:p>
    <w:p w14:paraId="1613FED5" w14:textId="77777777" w:rsidR="00BA2365" w:rsidRDefault="00BA2365" w:rsidP="00BA2365">
      <w:pPr>
        <w:spacing w:after="312" w:line="36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原文链接：</w:t>
      </w:r>
    </w:p>
    <w:p w14:paraId="349506E1" w14:textId="05E89BE6" w:rsidR="00FC16DB" w:rsidRPr="00BA2365" w:rsidRDefault="009B63BA" w:rsidP="00BA2365">
      <w:pPr>
        <w:spacing w:after="312" w:line="360" w:lineRule="auto"/>
        <w:rPr>
          <w:rFonts w:ascii="Cambria" w:hAnsi="Cambria"/>
          <w:color w:val="000000"/>
        </w:rPr>
      </w:pPr>
      <w:hyperlink r:id="rId9" w:history="1">
        <w:r w:rsidR="00BA2365">
          <w:rPr>
            <w:rFonts w:ascii="Cambria" w:hAnsi="Cambria"/>
            <w:color w:val="0000FF"/>
          </w:rPr>
          <w:t>http://www.gov.cn/zhengce/content/2020-10/09/content_5549924.htm</w:t>
        </w:r>
      </w:hyperlink>
    </w:p>
    <w:sectPr w:rsidR="00FC16DB" w:rsidRPr="00BA2365" w:rsidSect="00CA3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D6F69" w14:textId="77777777" w:rsidR="009B63BA" w:rsidRDefault="009B63BA">
      <w:r>
        <w:separator/>
      </w:r>
    </w:p>
  </w:endnote>
  <w:endnote w:type="continuationSeparator" w:id="0">
    <w:p w14:paraId="27FB039D" w14:textId="77777777" w:rsidR="009B63BA" w:rsidRDefault="009B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CD412" w14:textId="77777777" w:rsidR="009B63BA" w:rsidRDefault="009B63BA">
      <w:r>
        <w:separator/>
      </w:r>
    </w:p>
  </w:footnote>
  <w:footnote w:type="continuationSeparator" w:id="0">
    <w:p w14:paraId="1F796ECB" w14:textId="77777777" w:rsidR="009B63BA" w:rsidRDefault="009B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7DD"/>
    <w:rsid w:val="000975FB"/>
    <w:rsid w:val="00134938"/>
    <w:rsid w:val="001539D1"/>
    <w:rsid w:val="00181102"/>
    <w:rsid w:val="001C70F1"/>
    <w:rsid w:val="00242B0D"/>
    <w:rsid w:val="00317160"/>
    <w:rsid w:val="00374D8F"/>
    <w:rsid w:val="00382423"/>
    <w:rsid w:val="00393382"/>
    <w:rsid w:val="003F65D9"/>
    <w:rsid w:val="00405D10"/>
    <w:rsid w:val="004171A3"/>
    <w:rsid w:val="0043745C"/>
    <w:rsid w:val="004668B6"/>
    <w:rsid w:val="004B4B1C"/>
    <w:rsid w:val="004F678E"/>
    <w:rsid w:val="00564DA9"/>
    <w:rsid w:val="006065C6"/>
    <w:rsid w:val="00616382"/>
    <w:rsid w:val="0064342F"/>
    <w:rsid w:val="00676A66"/>
    <w:rsid w:val="00695624"/>
    <w:rsid w:val="006A2DEC"/>
    <w:rsid w:val="006A3BF8"/>
    <w:rsid w:val="006B77DD"/>
    <w:rsid w:val="006F26FB"/>
    <w:rsid w:val="007203BE"/>
    <w:rsid w:val="00732A00"/>
    <w:rsid w:val="00775217"/>
    <w:rsid w:val="007A7193"/>
    <w:rsid w:val="007C0AAC"/>
    <w:rsid w:val="007D405D"/>
    <w:rsid w:val="009B63BA"/>
    <w:rsid w:val="009C25DD"/>
    <w:rsid w:val="00A63DC4"/>
    <w:rsid w:val="00A8491D"/>
    <w:rsid w:val="00A94224"/>
    <w:rsid w:val="00AC3EFB"/>
    <w:rsid w:val="00B053FB"/>
    <w:rsid w:val="00B30ACC"/>
    <w:rsid w:val="00B35877"/>
    <w:rsid w:val="00BA2365"/>
    <w:rsid w:val="00BC79A1"/>
    <w:rsid w:val="00BE3136"/>
    <w:rsid w:val="00CA38DF"/>
    <w:rsid w:val="00CA5614"/>
    <w:rsid w:val="00D503E2"/>
    <w:rsid w:val="00DC55A6"/>
    <w:rsid w:val="00E36234"/>
    <w:rsid w:val="00E4754B"/>
    <w:rsid w:val="00F05362"/>
    <w:rsid w:val="00F20328"/>
    <w:rsid w:val="00FA05A4"/>
    <w:rsid w:val="00FC16DB"/>
    <w:rsid w:val="00FF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88465"/>
  <w15:docId w15:val="{D214161D-ED3A-4FA2-B216-A267E6A2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D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FC16DB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B77DD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6B77DD"/>
    <w:rPr>
      <w:rFonts w:ascii="宋体" w:eastAsia="宋体" w:hAnsi="Courier New" w:cs="Courier New"/>
      <w:szCs w:val="21"/>
    </w:rPr>
  </w:style>
  <w:style w:type="paragraph" w:styleId="a4">
    <w:name w:val="header"/>
    <w:basedOn w:val="a"/>
    <w:rsid w:val="001C7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C7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6F26F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F26FB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FC16D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C16DB"/>
    <w:rPr>
      <w:rFonts w:ascii="Times New Roman" w:hAnsi="Times New Roman"/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rsid w:val="00FC16DB"/>
    <w:rPr>
      <w:rFonts w:ascii="宋体" w:hAnsi="宋体" w:cs="宋体"/>
      <w:b/>
      <w:bCs/>
      <w:sz w:val="36"/>
      <w:szCs w:val="36"/>
    </w:rPr>
  </w:style>
  <w:style w:type="character" w:customStyle="1" w:styleId="time2">
    <w:name w:val="time2"/>
    <w:basedOn w:val="a0"/>
    <w:rsid w:val="00FC16DB"/>
    <w:rPr>
      <w:vanish w:val="0"/>
      <w:webHidden w:val="0"/>
      <w:color w:val="99999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1426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150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ov.cn/zhengce/content/2020-10/09/content_5549924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0094A61E-F8F7-4C2B-BB77-725968D9CF53}"/>
</file>

<file path=customXml/itemProps2.xml><?xml version="1.0" encoding="utf-8"?>
<ds:datastoreItem xmlns:ds="http://schemas.openxmlformats.org/officeDocument/2006/customXml" ds:itemID="{C2AAFA92-25F1-47F6-AAA6-FB7F4FD6F5B4}"/>
</file>

<file path=customXml/itemProps3.xml><?xml version="1.0" encoding="utf-8"?>
<ds:datastoreItem xmlns:ds="http://schemas.openxmlformats.org/officeDocument/2006/customXml" ds:itemID="{B2E6A4CA-3992-47CB-B773-AF95ED5C6D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wdf</cp:lastModifiedBy>
  <cp:revision>31</cp:revision>
  <dcterms:created xsi:type="dcterms:W3CDTF">2012-10-17T05:36:00Z</dcterms:created>
  <dcterms:modified xsi:type="dcterms:W3CDTF">2020-11-05T03:42:00Z</dcterms:modified>
</cp:coreProperties>
</file>